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النصير ابن عرير الأديب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النصير ابن عرير الأديب
</w:t>
      </w:r>
    </w:p>
    <w:p>
      <w:pPr/>
      <w:r>
        <w:rPr/>
        <w:t xml:space="preserve">النصير ابن عرير الأديب النصير بفتح النون، ابن عرير الأديب، كتب عنه أبو محمد عبد الله بن أحمد بن الخشاب شيئا من شعره: ومنه قوله:</w:t>
      </w:r>
    </w:p>
    <w:p/>
    <w:p>
      <w:pPr>
        <w:jc w:val="center"/>
      </w:pPr>
      <w:r>
        <w:rPr>
          <w:color w:val="ff0000"/>
        </w:rPr>
        <w:t xml:space="preserve">مبتكر المعنى له رتبة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وبعده من يفهم المبتكر</w:t>
      </w:r>
    </w:p>
    <w:p/>
    <w:p>
      <w:pPr>
        <w:jc w:val="center"/>
      </w:pPr>
      <w:r>
        <w:rPr>
          <w:color w:val="ff0000"/>
        </w:rPr>
        <w:t xml:space="preserve">وثالث إما هدى يهتدي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ورابع لا يهتدي كالحمر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2026-07-27T14:12:39+03:00</dcterms:created>
  <dcterms:modified xsi:type="dcterms:W3CDTF">2026-07-27T14:12:39+03:00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