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الصفار المقرئ
</w:t>
      </w:r>
    </w:p>
    <w:p>
      <w:pPr>
        <w:jc w:val="start"/>
        <w:bidi/>
      </w:pPr>
      <w:r>
        <w:rPr>
          <w:rFonts w:ascii="arial" w:hAnsi="arial" w:eastAsia="arial" w:cs="arial"/>
          <w:sz w:val="28"/>
          <w:szCs w:val="28"/>
          <w:b w:val="1"/>
          <w:bCs w:val="1"/>
          <w:rtl/>
        </w:rPr>
        <w:t xml:space="preserve">ابن الصفار المقرئ
</w:t>
      </w:r>
    </w:p>
    <w:p>
      <w:pPr/>
      <w:r>
        <w:rPr/>
        <w:t xml:space="preserve">ابن الصفار المقرئ هبة الله بن محمد بن موسى بن الطيب بن أبي الحسين الواسطي المعروف بابن الصفار المقرئ، قرأ على ابن علان وعلى ابن الصواف وعلى الهرمزان أحمد علي العجمي، وكان إماما في النجوم قوم لثلاثين سنة آتية، وله مصنفات في القراءات، وتوفي سنة ست وثمانين وأبعمائة،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2026-07-27T03:24:00+03:00</dcterms:created>
  <dcterms:modified xsi:type="dcterms:W3CDTF">2026-07-27T03:24:00+03:00</dcterms:modified>
</cp:coreProperties>
</file>

<file path=docProps/custom.xml><?xml version="1.0" encoding="utf-8"?>
<Properties xmlns="http://schemas.openxmlformats.org/officeDocument/2006/custom-properties" xmlns:vt="http://schemas.openxmlformats.org/officeDocument/2006/docPropsVTypes"/>
</file>