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ابن الشيرازي
</w:t>
      </w:r>
    </w:p>
    <w:p>
      <w:pPr>
        <w:jc w:val="start"/>
        <w:bidi/>
      </w:pPr>
      <w:r>
        <w:rPr>
          <w:rFonts w:ascii="arial" w:hAnsi="arial" w:eastAsia="arial" w:cs="arial"/>
          <w:sz w:val="28"/>
          <w:szCs w:val="28"/>
          <w:b w:val="1"/>
          <w:bCs w:val="1"/>
          <w:rtl/>
        </w:rPr>
        <w:t xml:space="preserve">أبو محمد ابن الشيرازي
</w:t>
      </w:r>
    </w:p>
    <w:p>
      <w:pPr/>
      <w:r>
        <w:rPr/>
        <w:t xml:space="preserve">أبو محمد ابن الشيرازي هبة الله بن محمد بن هبة الله بن مميل أبو محمد بن أبي نصر الشيرازي الواعظ، تقدم ذكر جماعة من أهل بيته، ولد ببغداد سنة خمسمائة ونشأ بها، وسمع ’’كتاب غريب الحديث’’ لأبي عبيد من أبي علي بن نبهان، وسافر إلى دمشق سنة ثلاثين وخمسمائة، وأقام مدة، ثم خرج منها وعاد إليها سنة اثنتين وثلاثين وخمسمائة وسكنها إلى حين وفاته وشهد عند قضائها وفوضت إليه عقود الأنكحة، وكان محمود السيرة يقضي حوائج الناس، وتولى إمامة مشهد علي بعد وفاة البسطامي، وحدث بكتاب الغريب بدمشق، وروى عنه أبو المواهب الحسن بن هبة الله بن محفوظ بن صصرى وولده أبو نصر وإسماعيل بن إبراهيم بن احمد الغرنوي، وتوفي سنة ثمان وسبعين وخمسمائة، ودفن بسفح قاسيون.</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2026-07-27T14:12:59+03:00</dcterms:created>
  <dcterms:modified xsi:type="dcterms:W3CDTF">2026-07-27T14:12:59+03:00</dcterms:modified>
</cp:coreProperties>
</file>

<file path=docProps/custom.xml><?xml version="1.0" encoding="utf-8"?>
<Properties xmlns="http://schemas.openxmlformats.org/officeDocument/2006/custom-properties" xmlns:vt="http://schemas.openxmlformats.org/officeDocument/2006/docPropsVTypes"/>
</file>