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هريرة المؤذن
</w:t>
      </w:r>
    </w:p>
    <w:p>
      <w:pPr>
        <w:jc w:val="start"/>
        <w:bidi/>
      </w:pPr>
      <w:r>
        <w:rPr>
          <w:rFonts w:ascii="arial" w:hAnsi="arial" w:eastAsia="arial" w:cs="arial"/>
          <w:sz w:val="28"/>
          <w:szCs w:val="28"/>
          <w:b w:val="1"/>
          <w:bCs w:val="1"/>
          <w:rtl/>
        </w:rPr>
        <w:t xml:space="preserve">أبو هريرة المؤذن
</w:t>
      </w:r>
    </w:p>
    <w:p>
      <w:pPr/>
      <w:r>
        <w:rPr/>
        <w:t xml:space="preserve">أبو هريرة المؤذن اسمه: واثلة بن الأسقع.</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المؤذن
</w:t>
      </w:r>
    </w:p>
    <w:p>
      <w:pPr/>
      <w:r>
        <w:rPr/>
        <w:t xml:space="preserve">أبو هريرة المؤذن واثلة بن الأسقع بن أبي العلاء بن أبي الفتح بن الفيض بن أحمد بن علي بن حامد بن إبراهيم أبو إبراهيم بن حامد أبو هريرة المؤذن الهمذاني، قال محب الدين بن النجار: هكذا نسبه يوسف بن خليل الدمشقي كان شيخا صالحا من أصحاب الحافظ أبي العلاء الحسن بن أحمد العطار، سمع بهمذان من أبي بكر هبة الله بن الفرح بن أخت الطويل وأبي المحاسن نصر بن المظفر البرمكي وغيرهما، وقدم بغداد سنة ست وأربعين وخمسمائة، وسمع من القاضي أبي الفضل محمد بن عمر بن يوسف الأرموي وابن ناصر الحافظ وسعيد بن أحمد بن البناء وأمثالهم، ثم قدم مرة ثانية سنة خمس وسبعين وخمسمائة وحدث بها وسمع منه أبو الحسن القطيعي وغيره، ثم قدمها ثالثة حاجا سنة ثمان وثمانين وخمسمائة وحدث بها أيضا، سمع منه أصحابنا ولم نلقه ودخلت همذان بعد وفاته وقد كتب إلي بالإجازة بجميع مروياته وسألت ابنه محمد بن واثلة عن وفاة أبيه، فقال: توفي بالكرخ في شوال سنة خمس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هريرة
</w:t>
      </w:r>
    </w:p>
    <w:p>
      <w:pPr/>
      <w:r>
        <w:rPr/>
        <w:t xml:space="preserve">أبو هريرة واثلة بن الأسقع الهمذاني المؤذن.</w:t>
      </w:r>
    </w:p>
    <w:p/>
    <w:p>
      <w:pPr/>
      <w:r>
        <w:rPr/>
        <w:t xml:space="preserve">رجل صالح، من أصحاب أبي العلاء العطار.</w:t>
      </w:r>
    </w:p>
    <w:p/>
    <w:p>
      <w:pPr/>
      <w:r>
        <w:rPr/>
        <w:t xml:space="preserve">سمع من: هبة الله ابن أخت الطويل، والأرموي، وابن ناصر.</w:t>
      </w:r>
    </w:p>
    <w:p/>
    <w:p>
      <w:pPr/>
      <w:r>
        <w:rPr/>
        <w:t xml:space="preserve">مات بالكرج، في شوال، سنة خمس وست مائة.</w:t>
      </w:r>
    </w:p>
    <w:p>
      <w:pPr>
        <w:jc w:val="start"/>
        <w:bidi/>
      </w:pPr>
      <w:r>
        <w:rPr>
          <w:sz w:val="24"/>
          <w:szCs w:val="24"/>
          <w:b w:val="1"/>
          <w:bCs w:val="1"/>
          <w:rtl/>
        </w:rPr>
        <w:t xml:space="preserve">
سير أعلام النبلاء،(دار الحديث- القاهرة،2006،ط 0،ج 16،ص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2026-07-27T09:02:30+03:00</dcterms:created>
  <dcterms:modified xsi:type="dcterms:W3CDTF">2026-07-27T09:02:30+03:00</dcterms:modified>
</cp:coreProperties>
</file>

<file path=docProps/custom.xml><?xml version="1.0" encoding="utf-8"?>
<Properties xmlns="http://schemas.openxmlformats.org/officeDocument/2006/custom-properties" xmlns:vt="http://schemas.openxmlformats.org/officeDocument/2006/docPropsVTypes"/>
</file>