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المقرئ
</w:t>
      </w:r>
    </w:p>
    <w:p>
      <w:pPr>
        <w:jc w:val="start"/>
        <w:bidi/>
      </w:pPr>
      <w:r>
        <w:rPr>
          <w:rFonts w:ascii="arial" w:hAnsi="arial" w:eastAsia="arial" w:cs="arial"/>
          <w:sz w:val="28"/>
          <w:szCs w:val="28"/>
          <w:b w:val="1"/>
          <w:bCs w:val="1"/>
          <w:rtl/>
        </w:rPr>
        <w:t xml:space="preserve">يعقوب المقرئ
</w:t>
      </w:r>
    </w:p>
    <w:p>
      <w:pPr/>
      <w:r>
        <w:rPr/>
        <w:t xml:space="preserve">يعقوب المقرئ يعقوب بن يوسف بن عمر بن الحسين ابن المعمر، أبو محمد المقرئ البغدادي. كان من أعيان القراء المجودين الضابطين، وكان الله تعالى قد يسر عليه التلاوة حتى إنه كان إذا ركع ركعتي تحية المسجد قرأ فيهما سبعا من القرآن أسرع من قراءة غيره جزءا واحدا. قرأ بالروايات على الحسين بن محمد بن عبد الوهاب الدباس، ومحمد بن الحسين المزرفي، ومحمد بن خضر خطيب المحول وغيرهم. وسمع الكثير من ابن الحصين، وابن كادش، ومحمد بن محمد بن الحسين بن الفراء، وأحمد بن علي بن المجلي، وغيرهم؛ وحدث بالكثير وأقرأ كثيرا من الناس.</w:t>
      </w:r>
    </w:p>
    <w:p/>
    <w:p>
      <w:pPr/>
      <w:r>
        <w:rPr/>
        <w:t xml:space="preserve">قال محب الدين ابن النجار: وكان صدوقا تغير واختلط في سنة ثمانين وخمس مائة، وتوفي سنة سبع وثمانين وخمس مائة،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2026-07-27T13:15:24+03:00</dcterms:created>
  <dcterms:modified xsi:type="dcterms:W3CDTF">2026-07-27T13:15:24+03:00</dcterms:modified>
</cp:coreProperties>
</file>

<file path=docProps/custom.xml><?xml version="1.0" encoding="utf-8"?>
<Properties xmlns="http://schemas.openxmlformats.org/officeDocument/2006/custom-properties" xmlns:vt="http://schemas.openxmlformats.org/officeDocument/2006/docPropsVTypes"/>
</file>