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غياث الدين
</w:t>
      </w:r>
    </w:p>
    <w:p>
      <w:pPr>
        <w:jc w:val="start"/>
        <w:bidi/>
      </w:pPr>
      <w:r>
        <w:rPr>
          <w:rFonts w:ascii="arial" w:hAnsi="arial" w:eastAsia="arial" w:cs="arial"/>
          <w:sz w:val="28"/>
          <w:szCs w:val="28"/>
          <w:b w:val="1"/>
          <w:bCs w:val="1"/>
          <w:rtl/>
        </w:rPr>
        <w:t xml:space="preserve">السلطان غياث الدين
</w:t>
      </w:r>
    </w:p>
    <w:p>
      <w:pPr/>
      <w:r>
        <w:rPr/>
        <w:t xml:space="preserve">السلطان غياث الدين  محمد بن سام بن الحسين بن الحسن المسعودي، ابو الفتح، السلطان غياث الدين: صاحب غزنة. كان عادلا، داهية، مظفرا في حروبه، فيه فضل وادب. قرأ شيئا من الفقه على مذهب الشافعب، ونسخ بخطه عدة مصاحف ووقفها في مدارس انشاها بخراسان، كما بنى رباطات ومساجد وخانات في الطرق والمفارز. وكان اذا نزل ببلدة من بلاده عم اهلها باحسانه ولاسيما الفقهاء والادباء. ولم يكن يتعصب لمذهب. طالت ايامه ومات بالنقرسن في هراة. </w:t>
      </w:r>
    </w:p>
    <w:p>
      <w:pPr>
        <w:jc w:val="start"/>
        <w:bidi/>
      </w:pPr>
      <w:r>
        <w:rPr>
          <w:sz w:val="24"/>
          <w:szCs w:val="24"/>
          <w:b w:val="1"/>
          <w:bCs w:val="1"/>
          <w:rtl/>
        </w:rPr>
        <w:t xml:space="preserve">
الأعلام،(دار العلم للملايين - بيروت،2002،ط 15،ج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2026-07-27T08:42:56+03:00</dcterms:created>
  <dcterms:modified xsi:type="dcterms:W3CDTF">2026-07-27T08:42:56+03:00</dcterms:modified>
</cp:coreProperties>
</file>

<file path=docProps/custom.xml><?xml version="1.0" encoding="utf-8"?>
<Properties xmlns="http://schemas.openxmlformats.org/officeDocument/2006/custom-properties" xmlns:vt="http://schemas.openxmlformats.org/officeDocument/2006/docPropsVTypes"/>
</file>