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أحمد الاستراباذي،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أحمد الاستراباذي، أبو علي
</w:t>
      </w:r>
    </w:p>
    <w:p>
      <w:pPr/>
      <w:r>
        <w:rPr/>
        <w:t xml:space="preserve">الحسن بن أحمد الاستراباذي، أبو علي النحوي اللغوي الأديب الفاضل حسنة طبرستان وأوحد ذلك الزمان، وله من التصانيف: شرح الفصيح. كتاب شرح الحماسة.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2،ص 825)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أحمد الأسترآباذي أبو علي النحوي اللغوي 
</w:t>
      </w:r>
    </w:p>
    <w:p>
      <w:pPr/>
      <w:r>
        <w:rPr/>
        <w:t xml:space="preserve">الحسن بن أحمد الأسترآباذيّ، أبو عليّ النّحويّ اللّغوي. </w:t>
      </w:r>
    </w:p>
    <w:p/>
    <w:p>
      <w:pPr/>
      <w:r>
        <w:rPr/>
        <w:t xml:space="preserve">له من التصانيف: كتاب شرح «الفصيح»، وكتاب شرح «الحماسة».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2026-07-27T13:48:10+03:00</dcterms:created>
  <dcterms:modified xsi:type="dcterms:W3CDTF">2026-07-27T13:48:10+03:00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