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عبد الأعلى النحوي
</w:t>
      </w:r>
    </w:p>
    <w:p>
      <w:pPr>
        <w:jc w:val="start"/>
        <w:bidi/>
      </w:pPr>
      <w:r>
        <w:rPr>
          <w:rFonts w:ascii="arial" w:hAnsi="arial" w:eastAsia="arial" w:cs="arial"/>
          <w:sz w:val="28"/>
          <w:szCs w:val="28"/>
          <w:b w:val="1"/>
          <w:bCs w:val="1"/>
          <w:rtl/>
        </w:rPr>
        <w:t xml:space="preserve">عبد الله بن عبد الأعلى النحوي
</w:t>
      </w:r>
    </w:p>
    <w:p>
      <w:pPr/>
      <w:r>
        <w:rPr/>
        <w:t xml:space="preserve">عبد الله بن عبد الأعلى النحوي: هو أحد أصحاب أبي علي الفارسي.</w:t>
      </w:r>
    </w:p>
    <w:p/>
    <w:p>
      <w:pPr/>
      <w:r>
        <w:rPr/>
        <w:t xml:space="preserve">صحبه وخرج في صحبته إلى فارس وأصبهان. وكان عبد الأعلى أبوه من كبار أصحاب الحديث ببغداد. قال أبو الفضل الفسوي: حضرنا جنازة عبد الأعلى ببغداد، وحضر جنازته الكبير والصغير، وتقدم ابنه عبد الله، فصلى عليه، وكبر عليه خمسا. فلما انصرف من الصلاة عليه، قيل له: أظهرت اليوم خلاف مذهبك. فقال للناس:</w:t>
      </w:r>
    </w:p>
    <w:p/>
    <w:p>
      <w:pPr/>
      <w:r>
        <w:rPr/>
        <w:t xml:space="preserve">اعلموا أنني لو تركت ورأيي لم أزل أكبر عليه تكبيرة بعد أخرى، وأخصه بأدعية بعد أدعية من نية صادقة، وطوية صافية، فقد وقذني فراقه، ولذعني انطلاقه، ثم بكى وأفرط، وشهق شهقة، وأنشأ يقول:</w:t>
      </w:r>
    </w:p>
    <w:p/>
    <w:p>
      <w:pPr>
        <w:jc w:val="center"/>
      </w:pPr>
      <w:r>
        <w:rPr>
          <w:color w:val="ff0000"/>
        </w:rPr>
        <w:t xml:space="preserve">صحبتك قبل الروح إذ أنا نطفة</w:t>
      </w:r>
      <w:r>
        <w:rPr>
          <w:color w:val="ff0000"/>
        </w:rPr>
        <w:t xml:space="preserve">      </w:t>
      </w:r>
      <w:r>
        <w:rPr>
          <w:color w:val="ff0000"/>
        </w:rPr>
        <w:t xml:space="preserve">مصان فلا يبدو لخلق مصونها</w:t>
      </w:r>
    </w:p>
    <w:p/>
    <w:p>
      <w:pPr>
        <w:jc w:val="center"/>
      </w:pPr>
      <w:r>
        <w:rPr>
          <w:color w:val="ff0000"/>
        </w:rPr>
        <w:t xml:space="preserve">فماذا بقاء الفرع من بعد أصله</w:t>
      </w:r>
      <w:r>
        <w:rPr>
          <w:color w:val="ff0000"/>
        </w:rPr>
        <w:t xml:space="preserve">      </w:t>
      </w:r>
      <w:r>
        <w:rPr>
          <w:color w:val="ff0000"/>
        </w:rPr>
        <w:t xml:space="preserve">ستلقى الذي لاقى الأصول غصونها</w:t>
      </w:r>
    </w:p>
    <w:p/>
    <w:p>
      <w:pPr>
        <w:jc w:val="start"/>
        <w:bidi/>
      </w:pPr>
      <w:r>
        <w:rPr>
          <w:sz w:val="24"/>
          <w:szCs w:val="24"/>
          <w:b w:val="1"/>
          <w:bCs w:val="1"/>
          <w:rtl/>
        </w:rPr>
        <w:t xml:space="preserve">
معجم الأدباء / إرشاد الأريب إلى معرفة الأديب،(دار الغرب الإسلامي - بيروت،1993،ط 0،ج 4،ص 1536)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2026-07-27T14:42:20+03:00</dcterms:created>
  <dcterms:modified xsi:type="dcterms:W3CDTF">2026-07-27T14:42:20+03:00</dcterms:modified>
</cp:coreProperties>
</file>

<file path=docProps/custom.xml><?xml version="1.0" encoding="utf-8"?>
<Properties xmlns="http://schemas.openxmlformats.org/officeDocument/2006/custom-properties" xmlns:vt="http://schemas.openxmlformats.org/officeDocument/2006/docPropsVTypes"/>
</file>