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الكافي الهاروني اليهودي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الكافي الهاروني اليهودي
</w:t>
      </w:r>
    </w:p>
    <w:p>
      <w:pPr/>
      <w:r>
        <w:rPr/>
        <w:t xml:space="preserve">عبد الكافي الهاروني اليهودي: صاحب الخط المليح إلى الغاية على طريقة ابن البواب؛ كان موجودا بعد الأربعمائة، وأنشدت من شعره:</w:t>
      </w:r>
    </w:p>
    <w:p/>
    <w:p>
      <w:pPr>
        <w:jc w:val="center"/>
      </w:pPr>
      <w:r>
        <w:rPr>
          <w:color w:val="ff0000"/>
        </w:rPr>
        <w:t xml:space="preserve">قلبي معنى عميد</w:t>
      </w:r>
      <w:r>
        <w:rPr>
          <w:color w:val="ff0000"/>
        </w:rPr>
        <w:t xml:space="preserve">      </w:t>
      </w:r>
      <w:r>
        <w:rPr>
          <w:color w:val="ff0000"/>
        </w:rPr>
        <w:t xml:space="preserve">بين الهوى والهواء</w:t>
      </w:r>
    </w:p>
    <w:p/>
    <w:p>
      <w:pPr>
        <w:jc w:val="center"/>
      </w:pPr>
      <w:r>
        <w:rPr>
          <w:color w:val="ff0000"/>
        </w:rPr>
        <w:t xml:space="preserve">هذا يقود زمامي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وذا يصد هوائي</w:t>
      </w:r>
    </w:p>
    <w:p/>
    <w:p>
      <w:pPr/>
      <w:r>
        <w:rPr/>
        <w:t xml:space="preserve">وله أيضا:</w:t>
      </w:r>
    </w:p>
    <w:p/>
    <w:p>
      <w:pPr>
        <w:jc w:val="center"/>
      </w:pPr>
      <w:r>
        <w:rPr>
          <w:color w:val="ff0000"/>
        </w:rPr>
        <w:t xml:space="preserve">يا من يقرب وصلي منه موعده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لولا عوائق من خلف تباعده</w:t>
      </w:r>
    </w:p>
    <w:p/>
    <w:p>
      <w:pPr>
        <w:jc w:val="center"/>
      </w:pPr>
      <w:r>
        <w:rPr>
          <w:color w:val="ff0000"/>
        </w:rPr>
        <w:t xml:space="preserve">لا تحسبن دموعي البيض غير دمي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وإنما نفسي الحامي يصعده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4،ص 1569)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2026-07-27T11:13:21+03:00</dcterms:created>
  <dcterms:modified xsi:type="dcterms:W3CDTF">2026-07-27T11:13:21+03:00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