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القطان
</w:t>
      </w:r>
    </w:p>
    <w:p>
      <w:pPr>
        <w:jc w:val="start"/>
        <w:bidi/>
      </w:pPr>
      <w:r>
        <w:rPr>
          <w:rFonts w:ascii="arial" w:hAnsi="arial" w:eastAsia="arial" w:cs="arial"/>
          <w:sz w:val="28"/>
          <w:szCs w:val="28"/>
          <w:b w:val="1"/>
          <w:bCs w:val="1"/>
          <w:rtl/>
        </w:rPr>
        <w:t xml:space="preserve">ابن القطان
</w:t>
      </w:r>
    </w:p>
    <w:p>
      <w:pPr/>
      <w:r>
        <w:rPr/>
        <w:t xml:space="preserve">ابن القطان  أحمد بن محمد بن أحمد ابن القطان: فقيه شافعي، من أهل بغداد، ووفاته بها. له مصنفات في أصول الفقه وفروعه. </w:t>
      </w:r>
    </w:p>
    <w:p>
      <w:pPr>
        <w:jc w:val="start"/>
        <w:bidi/>
      </w:pPr>
      <w:r>
        <w:rPr>
          <w:sz w:val="24"/>
          <w:szCs w:val="24"/>
          <w:b w:val="1"/>
          <w:bCs w:val="1"/>
          <w:rtl/>
        </w:rPr>
        <w:t xml:space="preserve">
الأعلام،(دار العلم للملايين - بيروت،2002،ط 15،ج 1،ص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القطان الشافعي
</w:t>
      </w:r>
    </w:p>
    <w:p>
      <w:pPr/>
      <w:r>
        <w:rPr/>
        <w:t xml:space="preserve">ابن القطان الشافعي أحمد بن محمد بن أحمد المعروف بابن القطان البغداذي الفقيه الشافعي من كبار أئمة الأصحاب، أخذ الفقه عن ابن سريج ثم من بعده عن أبي إسحاق المروزي، ودرس ببغداذ وأخذ عنه العلماء وله مصنفات كثيرة، كانت الرحلة إليه بالعراق مع أبي القاسم الداركي، استقل بالرئاسة، وذكره الشيخ أبو إسحاق في ’’الطبقات’’، وله مصنفات في أصول الفقه وفروعه، وتوفي سنة تسع وخمسين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القطان الشافعي
</w:t>
      </w:r>
    </w:p>
    <w:p>
      <w:pPr/>
      <w:r>
        <w:rPr/>
        <w:t xml:space="preserve">ابن القطان الشافعي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القطان
</w:t>
      </w:r>
    </w:p>
    <w:p>
      <w:pPr/>
      <w:r>
        <w:rPr/>
        <w:t xml:space="preserve">ابن القطان من كبراء الشافعية، أبو الحسين، أحمد بن محمد بن أحمد البغدادي.</w:t>
      </w:r>
    </w:p>
    <w:p/>
    <w:p>
      <w:pPr/>
      <w:r>
        <w:rPr/>
        <w:t xml:space="preserve">قال الخطيب: له مصنفات في أصول الفقه وفروعه، مات سنة تسع وخمسين وثلاث مائة.</w:t>
      </w:r>
    </w:p>
    <w:p/>
    <w:p>
      <w:pPr/>
      <w:r>
        <w:rPr/>
        <w:t xml:space="preserve">ذكره مختصرا.</w:t>
      </w:r>
    </w:p>
    <w:p/>
    <w:p>
      <w:pPr/>
      <w:r>
        <w:rPr/>
        <w:t xml:space="preserve">تفقه بابن سريج، ثم بأبي إسحاق المروزي، وتصدر للإفادة، واشتهر اسمه، وذكره أبو إسحاق في الطبقات.</w:t>
      </w:r>
    </w:p>
    <w:p>
      <w:pPr>
        <w:jc w:val="start"/>
        <w:bidi/>
      </w:pPr>
      <w:r>
        <w:rPr>
          <w:sz w:val="24"/>
          <w:szCs w:val="24"/>
          <w:b w:val="1"/>
          <w:bCs w:val="1"/>
          <w:rtl/>
        </w:rPr>
        <w:t xml:space="preserve">
سير أعلام النبلاء،(دار الحديث- القاهرة،2006،ط 0،ج 12،ص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2026-07-23T18:36:26+03:00</dcterms:created>
  <dcterms:modified xsi:type="dcterms:W3CDTF">2026-07-23T18:36:26+03:00</dcterms:modified>
</cp:coreProperties>
</file>

<file path=docProps/custom.xml><?xml version="1.0" encoding="utf-8"?>
<Properties xmlns="http://schemas.openxmlformats.org/officeDocument/2006/custom-properties" xmlns:vt="http://schemas.openxmlformats.org/officeDocument/2006/docPropsVTypes"/>
</file>