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الخزاز أبو جعفر أحمد بن علي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الخزاز أبو جعفر أحمد بن علي البغدادي
</w:t>
      </w:r>
    </w:p>
    <w:p>
      <w:pPr/>
      <w:r>
        <w:rPr/>
        <w:t xml:space="preserve">الخزاز أبو جعفر أحمد بن علي البغدادي الشيخ، الإمام، المقرئ، المحدث، أبو جعفر أحمد بن علي البغدادي الخزاز.</w:t>
      </w:r>
    </w:p>
    <w:p/>
    <w:p>
      <w:pPr/>
      <w:r>
        <w:rPr/>
        <w:t xml:space="preserve">سمع: هوذة بن خليفة، وسريج بن النعمان، وعاصم بن علي، وسعدويه، وأحمد بن يونس، وأسيد بن زيد الجمال، وطبقتهم.</w:t>
      </w:r>
    </w:p>
    <w:p/>
    <w:p>
      <w:pPr/>
      <w:r>
        <w:rPr/>
        <w:t xml:space="preserve">وتلا على هبيرة التمار، صاحب حفص.</w:t>
      </w:r>
    </w:p>
    <w:p/>
    <w:p>
      <w:pPr/>
      <w:r>
        <w:rPr/>
        <w:t xml:space="preserve">أخذ عنه الحروف: ابن مجاهد، وابن شنبوذ، وأحمد بن عجلان.</w:t>
      </w:r>
    </w:p>
    <w:p/>
    <w:p>
      <w:pPr/>
      <w:r>
        <w:rPr/>
        <w:t xml:space="preserve">وحدث عنه: ابن صاعد، وجعفر الخلدي، وأبو عمرو بن السماك، وأبو بكر الشافعي، وأبو بكر بن خلاد، وآخرون.</w:t>
      </w:r>
    </w:p>
    <w:p/>
    <w:p>
      <w:pPr/>
      <w:r>
        <w:rPr/>
        <w:t xml:space="preserve">وثقه: الدارقطني، وغيره.</w:t>
      </w:r>
    </w:p>
    <w:p/>
    <w:p>
      <w:pPr/>
      <w:r>
        <w:rPr/>
        <w:t xml:space="preserve">توفي في المحرم سنة ست وثمانين ومائتين.</w:t>
      </w:r>
    </w:p>
    <w:p/>
    <w:p>
      <w:pPr/>
      <w:r>
        <w:rPr/>
        <w:t xml:space="preserve">وكان بدمشق سنة نيف وستين ومائتين من المشايخ.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453)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2026-07-27T13:45:14+03:00</dcterms:created>
  <dcterms:modified xsi:type="dcterms:W3CDTF">2026-07-27T13:45:14+03:00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