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السامي
</w:t>
      </w:r>
    </w:p>
    <w:p>
      <w:pPr>
        <w:jc w:val="start"/>
        <w:bidi/>
      </w:pPr>
      <w:r>
        <w:rPr>
          <w:rFonts w:ascii="arial" w:hAnsi="arial" w:eastAsia="arial" w:cs="arial"/>
          <w:sz w:val="28"/>
          <w:szCs w:val="28"/>
          <w:b w:val="1"/>
          <w:bCs w:val="1"/>
          <w:rtl/>
        </w:rPr>
        <w:t xml:space="preserve">السامي
</w:t>
      </w:r>
    </w:p>
    <w:p>
      <w:pPr/>
      <w:r>
        <w:rPr/>
        <w:t xml:space="preserve">السامي الإمام المحدث الثقة الحافظ، أبو عبد الله محمد بن عبد الرحمن الهروي.</w:t>
      </w:r>
    </w:p>
    <w:p/>
    <w:p>
      <w:pPr/>
      <w:r>
        <w:rPr/>
        <w:t xml:space="preserve">سمع: أحمد بن يونس اليربوعي وطبقته بالكوفة، وإسماعيل بن أبي أويس وغيره بالمدينة، وأحمد بن حنبل، وطبقته ببغداد، وإبراهيم بن محمد الشافعي بمكة، ومحمد بن معاوية النيسابوري، ومحمد بن مقاتل المروزي، وجمع وصنف.</w:t>
      </w:r>
    </w:p>
    <w:p/>
    <w:p>
      <w:pPr/>
      <w:r>
        <w:rPr/>
        <w:t xml:space="preserve">حدث عنه: أبو حاتم بن حبان في ’’صحيحه’’ والعباس بن الفضل النضروي، وبشر بن محمد المزني، وسائر علماء هراة.</w:t>
      </w:r>
    </w:p>
    <w:p/>
    <w:p>
      <w:pPr/>
      <w:r>
        <w:rPr/>
        <w:t xml:space="preserve">مات في ذي القعدة، سنة إحدى وثلاث مائة على الأصح. وقيل: توفي في صفر سنة اثنتين وثلاث مائة وقد قارب المائة.</w:t>
      </w:r>
    </w:p>
    <w:p/>
    <w:p>
      <w:pPr/>
      <w:r>
        <w:rPr/>
        <w:t xml:space="preserve">وفيها توفي إبراهيم بن شريك الأسدي.</w:t>
      </w:r>
    </w:p>
    <w:p/>
    <w:p>
      <w:pPr/>
      <w:r>
        <w:rPr/>
        <w:t xml:space="preserve">وإبراهيم بن محمد بن متويه.</w:t>
      </w:r>
    </w:p>
    <w:p/>
    <w:p>
      <w:pPr/>
      <w:r>
        <w:rPr/>
        <w:t xml:space="preserve">وأبو قصي إسماعيل بن محمد العذري.</w:t>
      </w:r>
    </w:p>
    <w:p/>
    <w:p>
      <w:pPr/>
      <w:r>
        <w:rPr/>
        <w:t xml:space="preserve">وحمزة بن محمد بن عيسى الكاتب.</w:t>
      </w:r>
    </w:p>
    <w:p/>
    <w:p>
      <w:pPr/>
      <w:r>
        <w:rPr/>
        <w:t xml:space="preserve">وعبد الله بن الصقر السكري.</w:t>
      </w:r>
    </w:p>
    <w:p>
      <w:pPr>
        <w:jc w:val="start"/>
        <w:bidi/>
      </w:pPr>
      <w:r>
        <w:rPr>
          <w:sz w:val="24"/>
          <w:szCs w:val="24"/>
          <w:b w:val="1"/>
          <w:bCs w:val="1"/>
          <w:rtl/>
        </w:rPr>
        <w:t xml:space="preserve">
سير أعلام النبلاء،(دار الحديث- القاهرة،2006،ط 0،ج 11،ص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السامي الحافظ أبو عبد الله محمد بن عبد الرحمن الهروي
</w:t>
      </w:r>
    </w:p>
    <w:p>
      <w:pPr/>
      <w:r>
        <w:rPr/>
        <w:t xml:space="preserve">السامي الحافظ أبو عبد الله محمد بن عبد الرحمن الهروي </w:t>
      </w:r>
    </w:p>
    <w:p/>
    <w:p>
      <w:pPr/>
      <w:r>
        <w:rPr/>
        <w:t xml:space="preserve">من كبار شيوخ ابن حبان مات سنة إحدى وثلاثمائة</w:t>
      </w:r>
    </w:p>
    <w:p>
      <w:pPr>
        <w:jc w:val="start"/>
        <w:bidi/>
      </w:pPr>
      <w:r>
        <w:rPr>
          <w:sz w:val="24"/>
          <w:szCs w:val="24"/>
          <w:b w:val="1"/>
          <w:bCs w:val="1"/>
          <w:rtl/>
        </w:rPr>
        <w:t xml:space="preserve">
طبقات الحفاظ،(دار الكتب العلمية - بيروت،1403،ط 1،ج 1،ص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2026-07-27T10:50:32+03:00</dcterms:created>
  <dcterms:modified xsi:type="dcterms:W3CDTF">2026-07-27T10:50:32+03:00</dcterms:modified>
</cp:coreProperties>
</file>

<file path=docProps/custom.xml><?xml version="1.0" encoding="utf-8"?>
<Properties xmlns="http://schemas.openxmlformats.org/officeDocument/2006/custom-properties" xmlns:vt="http://schemas.openxmlformats.org/officeDocument/2006/docPropsVTypes"/>
</file>