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اللوزنكي
</w:t>
      </w:r>
    </w:p>
    <w:p>
      <w:pPr>
        <w:jc w:val="start"/>
        <w:bidi/>
      </w:pPr>
      <w:r>
        <w:rPr>
          <w:rFonts w:ascii="arial" w:hAnsi="arial" w:eastAsia="arial" w:cs="arial"/>
          <w:sz w:val="28"/>
          <w:szCs w:val="28"/>
          <w:b w:val="1"/>
          <w:bCs w:val="1"/>
          <w:rtl/>
        </w:rPr>
        <w:t xml:space="preserve">اللوزنكي
</w:t>
      </w:r>
    </w:p>
    <w:p>
      <w:pPr/>
      <w:r>
        <w:rPr/>
        <w:t xml:space="preserve">اللوزنكي مفتي طليطلة الإمام أبو جعفر، أحمد بن سعيد الأندلسي، اللوزنكي المالكي.</w:t>
      </w:r>
    </w:p>
    <w:p/>
    <w:p>
      <w:pPr/>
      <w:r>
        <w:rPr/>
        <w:t xml:space="preserve">امتحنه ملك طليطلة المأمون هو وابن مغيث وابن أسد وجماعة اتهمهم على سلطانه فأحضرهم مع قاضيهم أبي زيد القرطبي وقيدهم فهاجت العامة ونفروا إلى السلاح فقتل طائفة فكفوا واستبيحت دور المذكورين في سنة ستين وأربع مائة وسجنوا وسجن الوزير ابن غصن الأديب فصنف كتاب الممتحنين من لدن آدم عليه السلام إلى زمانه؛ اتهم بالنم على المذكورين ابن الحديدي كبير طليطلة ثم مات المأمون وقام بعده حفيده القادر والعقد والحل بالبلد لابن الحديدي فخوطب فيه القادر فأخرج أضداده من السجن فقتلوا ابن الحديدي وطيف برأسه وأضر ابن اللوزنكي في الحبس.</w:t>
      </w:r>
    </w:p>
    <w:p/>
    <w:p>
      <w:pPr/>
      <w:r>
        <w:rPr/>
        <w:t xml:space="preserve">ثابت بن أسلم، الحمادي، الحلوائي: </w:t>
      </w:r>
    </w:p>
    <w:p>
      <w:pPr>
        <w:jc w:val="start"/>
        <w:bidi/>
      </w:pPr>
      <w:r>
        <w:rPr>
          <w:sz w:val="24"/>
          <w:szCs w:val="24"/>
          <w:b w:val="1"/>
          <w:bCs w:val="1"/>
          <w:rtl/>
        </w:rPr>
        <w:t xml:space="preserve">
سير أعلام النبلاء،(دار الحديث- القاهرة،2006،ط 0،ج 13،ص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سعيد بن غالب الأموي
</w:t>
      </w:r>
    </w:p>
    <w:p>
      <w:pPr/>
      <w:r>
        <w:rPr/>
        <w:t xml:space="preserve">أحمد بن سعيد بن غالب الأموي. من أهل طليطلة؛ يكنى أبا جعفر، ويعرف: بابن اللورانكي.</w:t>
      </w:r>
    </w:p>
    <w:p/>
    <w:p>
      <w:pPr/>
      <w:r>
        <w:rPr/>
        <w:t xml:space="preserve">كان من أهل الأدب والفرائض واللغة، دريا بالفتيا، مشاورا في الأحكام، فقيها في المسائل، مشاركا في شرح الحديث والتفسير. وكان متواضعا. توفي في شوال سنة تسع وستين وأربعمائة، وصلى عليه عبد الرحمن ابن مغيث رحمه الله تعالى.</w:t>
      </w:r>
    </w:p>
    <w:p>
      <w:pPr>
        <w:jc w:val="start"/>
        <w:bidi/>
      </w:pPr>
      <w:r>
        <w:rPr>
          <w:sz w:val="24"/>
          <w:szCs w:val="24"/>
          <w:b w:val="1"/>
          <w:bCs w:val="1"/>
          <w:rtl/>
        </w:rPr>
        <w:t xml:space="preserve">
طبقات المفسرين للداوودي،(دار الكتب العلمية - بيروت،0000،ط 0،ج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2026-07-27T13:13:14+03:00</dcterms:created>
  <dcterms:modified xsi:type="dcterms:W3CDTF">2026-07-27T13:13:14+03:00</dcterms:modified>
</cp:coreProperties>
</file>

<file path=docProps/custom.xml><?xml version="1.0" encoding="utf-8"?>
<Properties xmlns="http://schemas.openxmlformats.org/officeDocument/2006/custom-properties" xmlns:vt="http://schemas.openxmlformats.org/officeDocument/2006/docPropsVTypes"/>
</file>