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القارىء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القارىء
</w:t>
      </w:r>
    </w:p>
    <w:p>
      <w:pPr/>
      <w:r>
        <w:rPr/>
        <w:t xml:space="preserve">القارىء الشيخ الصدوق المعمر المسند، أبو محمد، إسماعيل بن أبي القاسم عبد الرحمن بن أبي بكر صالح، النيسابوري، القارىء.</w:t>
      </w:r>
    </w:p>
    <w:p/>
    <w:p>
      <w:pPr/>
      <w:r>
        <w:rPr/>
        <w:t xml:space="preserve">قال ابن نقطة: سمع من: أبي الحسين عبد الغافر بن محمد الفارسي ’’صحيح مسلم’’، وأحاديث يحيى بن يحيى التميمي، وسمع من: أبي حفص بن مسرور عدة أجزاء. حدث عنه: أبو العلاء العطار، وأبو القاسم ابن عساكر، وأبو سعد السمعاني، والحسن بن محمد القشيري، وزينب الشعرية، وآخرون.</w:t>
      </w:r>
    </w:p>
    <w:p/>
    <w:p>
      <w:pPr/>
      <w:r>
        <w:rPr/>
        <w:t xml:space="preserve">قال السمعاني: شيخ صالح عفيف، صوفي، نظيف، مواظب على الجماعة، خدم الأستاذ أبا القاسم القشيري، مولده في رجب سنة تسع وثلاثين وأربع مائة.</w:t>
      </w:r>
    </w:p>
    <w:p/>
    <w:p>
      <w:pPr/>
      <w:r>
        <w:rPr/>
        <w:t xml:space="preserve">وقال ابن نقطة: روى عنه ’’الصحيح’’ أبو سعد الحسن بن محمد بن المحسن القشيري، وسمعت من زينب الشعرية ’’جزء ابن نجيد’’ بسماعها منه في سنة أربع وعشرين وخمس مائة.</w:t>
      </w:r>
    </w:p>
    <w:p/>
    <w:p>
      <w:pPr/>
      <w:r>
        <w:rPr/>
        <w:t xml:space="preserve">قلت: وقد حدث عنه أبو القاسم بن الحرستاني بالإجازة بأجزاء عمر بن مسرور.</w:t>
      </w:r>
    </w:p>
    <w:p/>
    <w:p>
      <w:pPr/>
      <w:r>
        <w:rPr/>
        <w:t xml:space="preserve">مات في العشرين من رمضان، سنة إحدى وثلاثين وخمس مائة. أرخه السمعاني.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2026-07-27T11:29:29+03:00</dcterms:created>
  <dcterms:modified xsi:type="dcterms:W3CDTF">2026-07-27T11:29:29+03:00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