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حفيد 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حفيد الشاشي
</w:t>
      </w:r>
    </w:p>
    <w:p>
      <w:pPr/>
      <w:r>
        <w:rPr/>
        <w:t xml:space="preserve">حفيد الشاشي العلامة أبو نصر أحمد بن عبد الله ابن شيخ الشافعية أبي بكر محمد بن أحمد الشافعي الشاشي، ثم البغدادي مدرس النظامية وأحد المصنفين.</w:t>
      </w:r>
    </w:p>
    <w:p/>
    <w:p>
      <w:pPr/>
      <w:r>
        <w:rPr/>
        <w:t xml:space="preserve">تفقه على أبيه، وعلى أبي الحسن ابن الخل، وسمع من أبي الوقت.</w:t>
      </w:r>
    </w:p>
    <w:p/>
    <w:p>
      <w:pPr/>
      <w:r>
        <w:rPr/>
        <w:t xml:space="preserve">مات قبل الكهولة سنة ست وسبعين وخمس مائة.</w:t>
      </w:r>
    </w:p>
    <w:p/>
    <w:p>
      <w:pPr/>
      <w:r>
        <w:rPr/>
        <w:t xml:space="preserve">ابن خير، خطيب الموصل: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2026-07-27T09:02:41+03:00</dcterms:created>
  <dcterms:modified xsi:type="dcterms:W3CDTF">2026-07-27T09:02:41+03:00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