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الإخوة
</w:t>
      </w:r>
    </w:p>
    <w:p>
      <w:pPr>
        <w:jc w:val="start"/>
        <w:bidi/>
      </w:pPr>
      <w:r>
        <w:rPr>
          <w:rFonts w:ascii="arial" w:hAnsi="arial" w:eastAsia="arial" w:cs="arial"/>
          <w:sz w:val="28"/>
          <w:szCs w:val="28"/>
          <w:b w:val="1"/>
          <w:bCs w:val="1"/>
          <w:rtl/>
        </w:rPr>
        <w:t xml:space="preserve">ابن الإخوة
</w:t>
      </w:r>
    </w:p>
    <w:p>
      <w:pPr/>
      <w:r>
        <w:rPr/>
        <w:t xml:space="preserve">ابن الإخوة الشيخ العالم المسند المؤيد أبو مسلم هشام ابن المحدث عبد الرحيم بن أحمد بن محمد ابن الإخوة البغدادي، ثم الأصبهاني المعدل.</w:t>
      </w:r>
    </w:p>
    <w:p/>
    <w:p>
      <w:pPr/>
      <w:r>
        <w:rPr/>
        <w:t xml:space="preserve">ولد سنة سبع وعشرين وخمس مائة.</w:t>
      </w:r>
    </w:p>
    <w:p/>
    <w:p>
      <w:pPr/>
      <w:r>
        <w:rPr/>
        <w:t xml:space="preserve">وبكر به والده أبو الفضل، فسمعه حضورا من: محمد بن علي بن أبي ذر الصالحاني، وزاهر الشحامي، وسعيد بن أبي الرجاء، والحسين الخلال، ومحمد بن إبراهيم بن سعدويه. وسمع من: غانم بن خالد، وطائفة وبهمذان من: أبي بكر هبة الله بن الفرج، ونصر بن المظفر. وببغداد من: القاضي الأرموي، وهبة الله الحاسب.</w:t>
      </w:r>
    </w:p>
    <w:p/>
    <w:p>
      <w:pPr/>
      <w:r>
        <w:rPr/>
        <w:t xml:space="preserve">حدث عنه: ابن نقطة، والضياء، وابن خليل، والتقي ابن العز، وجماعة، وبالإجازة: ابن أبي عمر، وابن الدرجي، والكمال عبد الرحيم، والفخر علي، وعدة. وعاش تسعا وسبعين سنة.</w:t>
      </w:r>
    </w:p>
    <w:p/>
    <w:p>
      <w:pPr/>
      <w:r>
        <w:rPr/>
        <w:t xml:space="preserve">ومن مسموعاته ’’مسند أبي يعلى’’، و’’مسند العدني’’، و’’مسند الروياني’’، ولكن غالب ذلك حضور، وكان ثقة في نفسه.</w:t>
      </w:r>
    </w:p>
    <w:p/>
    <w:p>
      <w:pPr/>
      <w:r>
        <w:rPr/>
        <w:t xml:space="preserve">مات في جمادى الآخرة، سنة ست وست مائة.</w:t>
      </w:r>
    </w:p>
    <w:p/>
    <w:p>
      <w:pPr/>
      <w:r>
        <w:rPr/>
        <w:t xml:space="preserve">وفيها مات: المعمر إدريس بن محمد آل والويه العطار الأصبهاني -يروي عن: ابن أبي ذر- وشيخ الحنابلة القاضي وجيه الدين أسعد بن المنجى التنوخي بدمشق، وشيخ الأصولية العلامة فخر الدين محمد بن عمر بن حسين الرازي المتكلم ابن خطيب الري، والعلامة مجد الدين المبارك بن الأثير الجزري، وإمام جامع أصبهان محمود بن أحمد المضري، عن تسعين سنة -يروي عن ابن أبي ذر والخلال- والمعمرة عفيفة الفارفانية.</w:t>
      </w:r>
    </w:p>
    <w:p/>
    <w:p>
      <w:pPr/>
      <w:r>
        <w:rPr/>
        <w:t xml:space="preserve">ابن مماتي، ابن الربيع: </w:t>
      </w:r>
    </w:p>
    <w:p>
      <w:pPr>
        <w:jc w:val="start"/>
        <w:bidi/>
      </w:pPr>
      <w:r>
        <w:rPr>
          <w:sz w:val="24"/>
          <w:szCs w:val="24"/>
          <w:b w:val="1"/>
          <w:bCs w:val="1"/>
          <w:rtl/>
        </w:rPr>
        <w:t xml:space="preserve">
سير أعلام النبلاء،(دار الحديث- القاهرة،2006،ط 0،ج 16،ص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2026-07-25T20:35:47+03:00</dcterms:created>
  <dcterms:modified xsi:type="dcterms:W3CDTF">2026-07-25T20:35:47+03:00</dcterms:modified>
</cp:coreProperties>
</file>

<file path=docProps/custom.xml><?xml version="1.0" encoding="utf-8"?>
<Properties xmlns="http://schemas.openxmlformats.org/officeDocument/2006/custom-properties" xmlns:vt="http://schemas.openxmlformats.org/officeDocument/2006/docPropsVTypes"/>
</file>