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البندنيجي
</w:t>
      </w:r>
    </w:p>
    <w:p>
      <w:pPr>
        <w:jc w:val="start"/>
        <w:bidi/>
      </w:pPr>
      <w:r>
        <w:rPr>
          <w:rFonts w:ascii="arial" w:hAnsi="arial" w:eastAsia="arial" w:cs="arial"/>
          <w:sz w:val="28"/>
          <w:szCs w:val="28"/>
          <w:b w:val="1"/>
          <w:bCs w:val="1"/>
          <w:rtl/>
        </w:rPr>
        <w:t xml:space="preserve">البندنيجي
</w:t>
      </w:r>
    </w:p>
    <w:p>
      <w:pPr/>
      <w:r>
        <w:rPr/>
        <w:t xml:space="preserve">البندنيجي الحافظ مفيد بغداد أبو العباس أحمد بن أحمد بن أحمد بن كرم البندنيجي، ثم البغدادي، الأزجي، المعدل، أخو المحدث تميم.</w:t>
      </w:r>
    </w:p>
    <w:p/>
    <w:p>
      <w:pPr/>
      <w:r>
        <w:rPr/>
        <w:t xml:space="preserve">ولد سنة إحدى وأربعين وخمس مائة.</w:t>
      </w:r>
    </w:p>
    <w:p/>
    <w:p>
      <w:pPr/>
      <w:r>
        <w:rPr/>
        <w:t xml:space="preserve">وسمع من: ابن الزاغوني، وأبي الوقت، وأبي محمد ابن المادح، وهلم جرا.</w:t>
      </w:r>
    </w:p>
    <w:p/>
    <w:p>
      <w:pPr/>
      <w:r>
        <w:rPr/>
        <w:t xml:space="preserve">وكتب العالي والنازل، وبالغ عن غير إتقان.</w:t>
      </w:r>
    </w:p>
    <w:p/>
    <w:p>
      <w:pPr/>
      <w:r>
        <w:rPr/>
        <w:t xml:space="preserve">روى عنه: ابن الدبيثي، وابن النجار، والزكي، البرزالي، واليلداني، وآخرون.</w:t>
      </w:r>
    </w:p>
    <w:p/>
    <w:p>
      <w:pPr/>
      <w:r>
        <w:rPr/>
        <w:t xml:space="preserve">وله عناية بالأسماء، ونظر في العربية، وكان فصيحا، طيب القراءة، امتحن بأن شهد في سجل باطل، فصفع على حمار، وحبس مدة في سنة ثمان وثمانين، وخمل.</w:t>
      </w:r>
    </w:p>
    <w:p/>
    <w:p>
      <w:pPr/>
      <w:r>
        <w:rPr/>
        <w:t xml:space="preserve">وكان أخوه تميم قد استجاز للإمام الناصر جماعة، فأظهر الإجازة، فأنعم عليه، فتكلم في أخيه، وأنه ما شهد بزور محض، بل ركن إلى قول القاضي محمد بن جعفر العباسي، وأن الأستاذ دار ابن يونس تعصب عليه، فأعاده الناصر إلى العدالة، وقبله القاضي أبو القاسم عبد الله ابن الدامغاني بلا تزكية.</w:t>
      </w:r>
    </w:p>
    <w:p/>
    <w:p>
      <w:pPr/>
      <w:r>
        <w:rPr/>
        <w:t xml:space="preserve">قال ابن النجار: قرأت عليه كثيرا، وكنت أراه كثير التحري لا يسامح في حرف. قال: ومع هذا فكانت أصوله مظلمة، وكذا خطه وطباقه، وكان ساقط المروءة، وسخ الهيئة، يدل حاله على تهاونه بالأمور الدينية، وتحكى عنه قبائح، فسألت شيخنا ابن الأخضر عنه وعن أخيه، فصرح بكذبهما.</w:t>
      </w:r>
    </w:p>
    <w:p/>
    <w:p>
      <w:pPr/>
      <w:r>
        <w:rPr/>
        <w:t xml:space="preserve">أخوه: </w:t>
      </w:r>
    </w:p>
    <w:p/>
    <w:p>
      <w:pPr/>
      <w:r>
        <w:rPr/>
        <w:t xml:space="preserve">أبو القاسم تميم، علي بن المفضل: </w:t>
      </w:r>
    </w:p>
    <w:p>
      <w:pPr>
        <w:jc w:val="start"/>
        <w:bidi/>
      </w:pPr>
      <w:r>
        <w:rPr>
          <w:sz w:val="24"/>
          <w:szCs w:val="24"/>
          <w:b w:val="1"/>
          <w:bCs w:val="1"/>
          <w:rtl/>
        </w:rPr>
        <w:t xml:space="preserve">
سير أعلام النبلاء،(دار الحديث- القاهرة،2006،ط 0،ج 16،ص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2026-07-27T10:50:38+03:00</dcterms:created>
  <dcterms:modified xsi:type="dcterms:W3CDTF">2026-07-27T10:50:38+03:00</dcterms:modified>
</cp:coreProperties>
</file>

<file path=docProps/custom.xml><?xml version="1.0" encoding="utf-8"?>
<Properties xmlns="http://schemas.openxmlformats.org/officeDocument/2006/custom-properties" xmlns:vt="http://schemas.openxmlformats.org/officeDocument/2006/docPropsVTypes"/>
</file>