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أخوه
</w:t>
      </w:r>
    </w:p>
    <w:p>
      <w:pPr/>
      <w:r>
        <w:rPr/>
        <w:t xml:space="preserve">أخوه الإمام أبو بكر محمد بن أحمد الشافعي، جعله أبوه معيد النظامية. وسمع من: أبي الأزهر محمد بن محمد الواسطي شيئا من ’’مسند مسدد’’، ثم زلي قضاء الروم، ثم عزل، وسكن إربل، وقدم بغداد رسولا.</w:t>
      </w:r>
    </w:p>
    <w:p/>
    <w:p>
      <w:pPr/>
      <w:r>
        <w:rPr/>
        <w:t xml:space="preserve">قال ابن النجار: سمعت جماعة يرمونه بالكذب، ويذمونه.</w:t>
      </w:r>
    </w:p>
    <w:p/>
    <w:p>
      <w:pPr/>
      <w:r>
        <w:rPr/>
        <w:t xml:space="preserve">مات بالروم، سنة أربع عشرة وست مائة، وله ستون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2026-07-27T09:56:25+03:00</dcterms:created>
  <dcterms:modified xsi:type="dcterms:W3CDTF">2026-07-27T09:56:25+03:00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