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عقيل
</w:t>
      </w:r>
    </w:p>
    <w:p>
      <w:pPr>
        <w:jc w:val="start"/>
        <w:bidi/>
      </w:pPr>
      <w:r>
        <w:rPr>
          <w:rFonts w:ascii="arial" w:hAnsi="arial" w:eastAsia="arial" w:cs="arial"/>
          <w:sz w:val="28"/>
          <w:szCs w:val="28"/>
          <w:b w:val="1"/>
          <w:bCs w:val="1"/>
          <w:rtl/>
        </w:rPr>
        <w:t xml:space="preserve">ابن عقيل
</w:t>
      </w:r>
    </w:p>
    <w:p>
      <w:pPr/>
      <w:r>
        <w:rPr/>
        <w:t xml:space="preserve">ابن عقيل  محمد بن عقيل بن عبد الله بن عمر، من آل يحيى، العلوي الحسيني الحضرمي: رحالة، من بيت علم بحضرموت. زار بعض بلاد الصين واليابان والهند والحجاز ومصر واوربة والشام واليمن، للتجارة. وكان جل مقامه وعمله في سنقفورة. ولجأ بعائلته إلى الحديدة (ثغر اليمن) على ائر خلاف بينه وبين السلطان عمر القعيطي سلطان حضرموت، وتوفي فيها. وكان شديد التشيع. له كتب، منها (النصائح الكافية -ط) تحامل فيه على معاوية بن ابي سفيان ونال منه، و (العتب الجيل على علماء الجرح والتعديل -ط) رسالة، و (مذكرات) عن رحلاته ضاع اكثرها، و (ثمرات المطالعة) 9 وله مقالات في في جريدة (الفتح) بتوقيع (محمد الباقر اليمني). </w:t>
      </w:r>
    </w:p>
    <w:p>
      <w:pPr>
        <w:jc w:val="start"/>
        <w:bidi/>
      </w:pPr>
      <w:r>
        <w:rPr>
          <w:sz w:val="24"/>
          <w:szCs w:val="24"/>
          <w:b w:val="1"/>
          <w:bCs w:val="1"/>
          <w:rtl/>
        </w:rPr>
        <w:t xml:space="preserve">
الأعلام،(دار العلم للملايين - بيروت،2002،ط 15،ج 6،ص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2026-07-25T04:32:32+03:00</dcterms:created>
  <dcterms:modified xsi:type="dcterms:W3CDTF">2026-07-25T04:32:32+03:00</dcterms:modified>
</cp:coreProperties>
</file>

<file path=docProps/custom.xml><?xml version="1.0" encoding="utf-8"?>
<Properties xmlns="http://schemas.openxmlformats.org/officeDocument/2006/custom-properties" xmlns:vt="http://schemas.openxmlformats.org/officeDocument/2006/docPropsVTypes"/>
</file>