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خطيب القرافة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خطيب القرافة
</w:t>
      </w:r>
    </w:p>
    <w:p>
      <w:pPr/>
      <w:r>
        <w:rPr/>
        <w:t xml:space="preserve">ابن خطيب القرافة الشيخ العالم أبو عمرو عثمان بن علي بن عبد الواحد بن الحسين القرشي، الأسدي، الدمشقي، الناسخ، ابن خطيب القرافة.</w:t>
      </w:r>
    </w:p>
    <w:p/>
    <w:p>
      <w:pPr/>
      <w:r>
        <w:rPr/>
        <w:t xml:space="preserve">ولد سنة اثنتين وسبعين وخمس مائة.</w:t>
      </w:r>
    </w:p>
    <w:p/>
    <w:p>
      <w:pPr/>
      <w:r>
        <w:rPr/>
        <w:t xml:space="preserve">له إجازة خاصة من السلفي روى بها الكثير.</w:t>
      </w:r>
    </w:p>
    <w:p/>
    <w:p>
      <w:pPr/>
      <w:r>
        <w:rPr/>
        <w:t xml:space="preserve">حدث عنه: أبو عبد الله البرزالي، والدمياطي، والعماد ابن البالسي، وناصر الدين ابن المهتار، وضياء الدين ابن الحموي، وشمس الدين محمد ابن أيوب النقيب، وآخرون.</w:t>
      </w:r>
    </w:p>
    <w:p/>
    <w:p>
      <w:pPr/>
      <w:r>
        <w:rPr/>
        <w:t xml:space="preserve">نسخ الكثير بالأجرة.</w:t>
      </w:r>
    </w:p>
    <w:p/>
    <w:p>
      <w:pPr/>
      <w:r>
        <w:rPr/>
        <w:t xml:space="preserve">وتوفي في ثالث ربيع الآخر، سنة ست وخمسين وست مائة.</w:t>
      </w:r>
    </w:p>
    <w:p/>
    <w:p>
      <w:pPr/>
      <w:r>
        <w:rPr/>
        <w:t xml:space="preserve">وسمعنا على زين الدين عبد الرحيم ابن كاميار سنة أربعين بإجازته منه، تفرد بها.</w:t>
      </w:r>
    </w:p>
    <w:p/>
    <w:p>
      <w:pPr/>
      <w:r>
        <w:rPr/>
        <w:t xml:space="preserve">أخوه الإمام المحدث الرحال: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16،ص 479)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2026-07-27T11:30:10+03:00</dcterms:created>
  <dcterms:modified xsi:type="dcterms:W3CDTF">2026-07-27T11:30:10+03:00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