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دينار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دينار
</w:t>
      </w:r>
    </w:p>
    <w:p>
      <w:pPr/>
      <w:r>
        <w:rPr/>
        <w:t xml:space="preserve">عبد الله بن دينار ومنهم أبو محمد بن عبد الله بن دينار، صان الأسرار، وحفظ بالأنوار</w:t>
      </w:r>
    </w:p>
    <w:p/>
    <w:p>
      <w:pPr/>
      <w:r>
        <w:rPr/>
        <w:t xml:space="preserve">حدثنا محمد بن أحمد بن محمد البغدادي قال: أخبرني جعفر بن عبد الله الدينوري، قال: سمعت أبا حمزة يقول: قلت لابن دينار الجعفي: أوصني قال: «اتق الله في خلواتك وحافظ على أوقات صلواتك وغض طرفك عن لحظاتك، تكن عند الله مقربا في حالاتك»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حلية الأولياء وطبقات الأصفياء،(دار الكتاب العربي - بيروت،1985،ط 0،ج 10،ص 162)/(السعادة ،1974،ط 1،ج 10،ص 162)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2026-07-27T14:05:41+03:00</dcterms:created>
  <dcterms:modified xsi:type="dcterms:W3CDTF">2026-07-27T14:05:41+03:00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