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الطقطقي
</w:t>
      </w:r>
    </w:p>
    <w:p>
      <w:pPr>
        <w:jc w:val="start"/>
        <w:bidi/>
      </w:pPr>
      <w:r>
        <w:rPr>
          <w:rFonts w:ascii="arial" w:hAnsi="arial" w:eastAsia="arial" w:cs="arial"/>
          <w:sz w:val="28"/>
          <w:szCs w:val="28"/>
          <w:b w:val="1"/>
          <w:bCs w:val="1"/>
          <w:rtl/>
        </w:rPr>
        <w:t xml:space="preserve">ابن الطقطقي
</w:t>
      </w:r>
    </w:p>
    <w:p>
      <w:pPr/>
      <w:r>
        <w:rPr/>
        <w:t xml:space="preserve">ابن الطقطقي  محمد بن علي بن محمد ابن طباطبا العلوي، ابو جعفر، المعروف بابن الطقطقي: مؤرخ بحاث ناقد. من أهل الموصل. خلف اباه (سنة 672هـ) في نقابة العلويين بالحلة والنجف وكربلاء، وتزويح بفارسية من خراسان. وزار مراغة (سنة 696) وعاد إلى الموصل، فالف فيها (سنة701) كتابه (الفخري في الآداب السلطانية والدول الاسلامية -ط) وقدمه إلى واليها (فخر الدين عيسى بن ابراهيم؟). ولعله توفي بها. </w:t>
      </w:r>
    </w:p>
    <w:p>
      <w:pPr>
        <w:jc w:val="start"/>
        <w:bidi/>
      </w:pPr>
      <w:r>
        <w:rPr>
          <w:sz w:val="24"/>
          <w:szCs w:val="24"/>
          <w:b w:val="1"/>
          <w:bCs w:val="1"/>
          <w:rtl/>
        </w:rPr>
        <w:t xml:space="preserve">
الأعلام،(دار العلم للملايين - بيروت،2002،ط 15،ج 6،ص 283)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2026-07-23T18:15:34+03:00</dcterms:created>
  <dcterms:modified xsi:type="dcterms:W3CDTF">2026-07-23T18:15:34+03:00</dcterms:modified>
</cp:coreProperties>
</file>

<file path=docProps/custom.xml><?xml version="1.0" encoding="utf-8"?>
<Properties xmlns="http://schemas.openxmlformats.org/officeDocument/2006/custom-properties" xmlns:vt="http://schemas.openxmlformats.org/officeDocument/2006/docPropsVTypes"/>
</file>