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الأنسي
</w:t>
      </w:r>
    </w:p>
    <w:p>
      <w:pPr>
        <w:jc w:val="start"/>
        <w:bidi/>
      </w:pPr>
      <w:r>
        <w:rPr>
          <w:rFonts w:ascii="arial" w:hAnsi="arial" w:eastAsia="arial" w:cs="arial"/>
          <w:sz w:val="28"/>
          <w:szCs w:val="28"/>
          <w:b w:val="1"/>
          <w:bCs w:val="1"/>
          <w:rtl/>
        </w:rPr>
        <w:t xml:space="preserve">الأنسي
</w:t>
      </w:r>
    </w:p>
    <w:p>
      <w:pPr/>
      <w:r>
        <w:rPr/>
        <w:t xml:space="preserve">الأنسي  محمد علي بن حسن الانسي : عالم بالحديث والحقوق. لبناني. مولده ووفاته في بيروت تعلم بمدارس المقاصد الخيرية وقرأ مجلة الاحكام العدلية على الشيخ يوسف النبهاني ولازم دروسه مدة طويلة ثم كان رئيسا لكتاب بعض المحاكم فرئيسا لمحكمة التمييز الشرعية العليا، ورئيسا للاستئناف الشرعي الاعلى. وصنف (المنهج البديع في أحاديث الشفيع) أربعة عشر مجلدا. </w:t>
      </w:r>
    </w:p>
    <w:p>
      <w:pPr>
        <w:jc w:val="start"/>
        <w:bidi/>
      </w:pPr>
      <w:r>
        <w:rPr>
          <w:sz w:val="24"/>
          <w:szCs w:val="24"/>
          <w:b w:val="1"/>
          <w:bCs w:val="1"/>
          <w:rtl/>
        </w:rPr>
        <w:t xml:space="preserve">
الأعلام،(دار العلم للملايين - بيروت،2002،ط 15،ج 6،ص 307)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2026-07-27T10:51:25+03:00</dcterms:created>
  <dcterms:modified xsi:type="dcterms:W3CDTF">2026-07-27T10:51:25+03:00</dcterms:modified>
</cp:coreProperties>
</file>

<file path=docProps/custom.xml><?xml version="1.0" encoding="utf-8"?>
<Properties xmlns="http://schemas.openxmlformats.org/officeDocument/2006/custom-properties" xmlns:vt="http://schemas.openxmlformats.org/officeDocument/2006/docPropsVTypes"/>
</file>