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فرتون
</w:t>
      </w:r>
    </w:p>
    <w:p>
      <w:pPr>
        <w:jc w:val="start"/>
        <w:bidi/>
      </w:pPr>
      <w:r>
        <w:rPr>
          <w:rFonts w:ascii="arial" w:hAnsi="arial" w:eastAsia="arial" w:cs="arial"/>
          <w:sz w:val="28"/>
          <w:szCs w:val="28"/>
          <w:b w:val="1"/>
          <w:bCs w:val="1"/>
          <w:rtl/>
        </w:rPr>
        <w:t xml:space="preserve">ابن فرتون
</w:t>
      </w:r>
    </w:p>
    <w:p>
      <w:pPr/>
      <w:r>
        <w:rPr/>
        <w:t xml:space="preserve">ابن فرتون  محمد بن لب بن موسى ابن فرتون: ثائر، كانت له ولابنه، من بعده، دولة في الاندلس. خرج على الامير عبد الله بن محمد الاموي في اول ولايته (سنة 275هـ) بالثغر الاعلى، وحاصر مدينة تطيلة (Tudela) وظفر بمحمد بن طملس قائد الامير عبد الله، فقتله على بابها. وملك طليطلة في بعض اوقاته. قال ابن حيان ما مجمله: كان مع ثورته على السلطان، ونكوبه عن الجماعة، حاميا للثغر، جاهدا في قتال الفرنج، يجيش لهم ويستنفر لغزوهم، فتتجمل آثاره في جهاد الطاغية، ولا يأتي مع ذل في اذى من حوله من بلاد المسلمين، وانتهى به الامر إلى ان حاصر سرقسطة، فقتل وهو محاصر لها، فامر برفعه على باب قصر الخلافة، ثمانية ايام، ودفن بعدها. </w:t>
      </w:r>
    </w:p>
    <w:p>
      <w:pPr>
        <w:jc w:val="start"/>
        <w:bidi/>
      </w:pPr>
      <w:r>
        <w:rPr>
          <w:sz w:val="24"/>
          <w:szCs w:val="24"/>
          <w:b w:val="1"/>
          <w:bCs w:val="1"/>
          <w:rtl/>
        </w:rPr>
        <w:t xml:space="preserve">
الأعلام،(دار العلم للملايين - بيروت،2002،ط 15،ج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2026-07-23T02:26:34+03:00</dcterms:created>
  <dcterms:modified xsi:type="dcterms:W3CDTF">2026-07-23T02:26:34+03:00</dcterms:modified>
</cp:coreProperties>
</file>

<file path=docProps/custom.xml><?xml version="1.0" encoding="utf-8"?>
<Properties xmlns="http://schemas.openxmlformats.org/officeDocument/2006/custom-properties" xmlns:vt="http://schemas.openxmlformats.org/officeDocument/2006/docPropsVTypes"/>
</file>