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خطاب بن محمود بن رنقش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خطاب بن محمود بن رنقش
</w:t>
      </w:r>
    </w:p>
    <w:p>
      <w:pPr/>
      <w:r>
        <w:rPr/>
        <w:t xml:space="preserve">خطاب بن محمود بن رنقش الأمير عز الدين العراقي.</w:t>
      </w:r>
    </w:p>
    <w:p/>
    <w:p>
      <w:pPr/>
      <w:r>
        <w:rPr/>
        <w:t xml:space="preserve">كان له مال وثروه، وشيخا قد بقي على رأي العوام بروه، وفيه خير وإحسان، وفضل أربى به على رب السيف والطيلسان.</w:t>
      </w:r>
    </w:p>
    <w:p/>
    <w:p>
      <w:pPr/>
      <w:r>
        <w:rPr/>
        <w:t xml:space="preserve">عمر الخان بين غباغب والكسوه، وجبر به كل من يمر في الطريق من الرجال والنسوه، وعمر حماما بحكر السماق معروفا، وجعله بألسنة الشكر موصوفا.</w:t>
      </w:r>
    </w:p>
    <w:p/>
    <w:p>
      <w:pPr/>
      <w:r>
        <w:rPr/>
        <w:t xml:space="preserve">وكان فيه معروف وبر، وخير في الظاهر وفي السر.</w:t>
      </w:r>
    </w:p>
    <w:p/>
    <w:p>
      <w:pPr/>
      <w:r>
        <w:rPr/>
        <w:t xml:space="preserve">ولم يزل على حاله إلى أن نزل الخطب بخطاب، وبدل أهله بنكد العيش بعدما طاب.</w:t>
      </w:r>
    </w:p>
    <w:p/>
    <w:p>
      <w:pPr/>
      <w:r>
        <w:rPr/>
        <w:t xml:space="preserve">وتوفي رحمه الله تعالى في شهر ربيع الآخر سنة خمس وعشرين وسبع 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2،ص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2026-07-27T13:16:38+03:00</dcterms:created>
  <dcterms:modified xsi:type="dcterms:W3CDTF">2026-07-27T13:16:38+03:00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