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المنزلي
</w:t>
      </w:r>
    </w:p>
    <w:p>
      <w:pPr>
        <w:jc w:val="start"/>
        <w:bidi/>
      </w:pPr>
      <w:r>
        <w:rPr>
          <w:rFonts w:ascii="arial" w:hAnsi="arial" w:eastAsia="arial" w:cs="arial"/>
          <w:sz w:val="28"/>
          <w:szCs w:val="28"/>
          <w:b w:val="1"/>
          <w:bCs w:val="1"/>
          <w:rtl/>
        </w:rPr>
        <w:t xml:space="preserve">المنزلي
</w:t>
      </w:r>
    </w:p>
    <w:p>
      <w:pPr/>
      <w:r>
        <w:rPr/>
        <w:t xml:space="preserve">المنزلي  محمد بن محمد بن يوسف بن يحيى، ناصر الدين المنزلي الشافعي، ويقال له ابن سويدان، وهو سبطه: ناظم فاضل، من اقضاة. من أهل (منزلة بنب حسون) بمصر. زار القاهرة مرارا. وولي نظر الناصرية بدمياط، ثم قضاء المنزلة (سنة 842 هت) وعزل. وانتقل إلى (مني ابن سلسيل) وولي قضاءها، وصرف. له (كنز الوفا في مديح المصطفى) من نظمه؛ ومختصره (جواهر الكنز المذخر في مدح خير البشر) وكله من بحر الطويل، و (جهة المحتاج) في نظم فرائض المنهاج. قال السخاوي: ونسخ بخطه الجيد الكثير، كالصحيحين وغيرهما. </w:t>
      </w:r>
    </w:p>
    <w:p>
      <w:pPr>
        <w:jc w:val="start"/>
        <w:bidi/>
      </w:pPr>
      <w:r>
        <w:rPr>
          <w:sz w:val="24"/>
          <w:szCs w:val="24"/>
          <w:b w:val="1"/>
          <w:bCs w:val="1"/>
          <w:rtl/>
        </w:rPr>
        <w:t xml:space="preserve">
الأعلام،(دار العلم للملايين - بيروت،2002،ط 15،ج 7،ص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2026-07-27T10:56:51+03:00</dcterms:created>
  <dcterms:modified xsi:type="dcterms:W3CDTF">2026-07-27T10:56:51+03:00</dcterms:modified>
</cp:coreProperties>
</file>

<file path=docProps/custom.xml><?xml version="1.0" encoding="utf-8"?>
<Properties xmlns="http://schemas.openxmlformats.org/officeDocument/2006/custom-properties" xmlns:vt="http://schemas.openxmlformats.org/officeDocument/2006/docPropsVTypes"/>
</file>