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
</w:t>
      </w:r>
    </w:p>
    <w:p>
      <w:pPr/>
      <w:r>
        <w:rPr/>
        <w:t xml:space="preserve">محمد بن إبراهيم ابن معضاد . .</w:t>
      </w:r>
    </w:p>
    <w:p/>
    <w:p>
      <w:pPr/>
      <w:r>
        <w:rPr/>
        <w:t xml:space="preserve">توفي -رحمه الله تعالى- . . سنة سبع وثلاثين وسبع مئة بمصر.</w:t>
      </w:r>
    </w:p>
    <w:p/>
    <w:p>
      <w:pPr/>
      <w:r>
        <w:rPr/>
        <w:t xml:space="preserve">ولما توفي -رحمه الله تعالى- قام أخوه عمر.</w:t>
      </w:r>
    </w:p>
    <w:p/>
    <w:p>
      <w:pPr/>
      <w:r>
        <w:rPr/>
        <w:t xml:space="preserve">قال لي شيخنا العلامة قاضي القضاة تقي الدين -رحمه الله-: هؤلاء أهل بيت لا يتكلم فيهم أحد حتى يموت واحد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2026-07-24T20:46:53+03:00</dcterms:created>
  <dcterms:modified xsi:type="dcterms:W3CDTF">2026-07-24T20:46:53+03:00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