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
</w:t>
      </w:r>
    </w:p>
    <w:p>
      <w:pPr/>
      <w:r>
        <w:rPr/>
        <w:t xml:space="preserve">محمد بن إبراهيم الشيخ شمس الدين الكردي، إمام مشهد علي بالجامع الأموي.</w:t>
      </w:r>
    </w:p>
    <w:p/>
    <w:p>
      <w:pPr/>
      <w:r>
        <w:rPr/>
        <w:t xml:space="preserve">حدث عن ابن الواسطي وغيره، وكان يحفظ ’’التنبيه’’، ويفتى. وكان إماما في صناعة الحساب.</w:t>
      </w:r>
    </w:p>
    <w:p/>
    <w:p>
      <w:pPr/>
      <w:r>
        <w:rPr/>
        <w:t xml:space="preserve">توفي -رحمه الله تعالى- في سنة تسع وخمسين وسبع مئة.</w:t>
      </w:r>
    </w:p>
    <w:p/>
    <w:p>
      <w:pPr/>
      <w:r>
        <w:rPr/>
        <w:t xml:space="preserve">وكان عسرا في مباشرة الوظائف التي يليها.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2026-07-27T08:36:32+03:00</dcterms:created>
  <dcterms:modified xsi:type="dcterms:W3CDTF">2026-07-27T08:36:32+03:00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