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w:t>
      </w:r>
    </w:p>
    <w:p>
      <w:pPr>
        <w:jc w:val="start"/>
        <w:bidi/>
      </w:pPr>
      <w:r>
        <w:rPr>
          <w:rFonts w:ascii="arial" w:hAnsi="arial" w:eastAsia="arial" w:cs="arial"/>
          <w:sz w:val="28"/>
          <w:szCs w:val="28"/>
          <w:b w:val="1"/>
          <w:bCs w:val="1"/>
          <w:rtl/>
        </w:rPr>
        <w:t xml:space="preserve">محمد بن أحمد بن محمد
</w:t>
      </w:r>
    </w:p>
    <w:p>
      <w:pPr/>
      <w:r>
        <w:rPr/>
        <w:t xml:space="preserve">محمد بن أحمد بن محمد ابن أحمد بن محمود، الصدر الرئيس القاضي عز الدين بن القلانسي العقيلي، ناظر الخزانة بقلعة دمشق، ومحتسب البلد.</w:t>
      </w:r>
    </w:p>
    <w:p/>
    <w:p>
      <w:pPr/>
      <w:r>
        <w:rPr/>
        <w:t xml:space="preserve">سمع من ابن البخاري مشيخته. وحدث، وسمع منه بعض الطلبة.</w:t>
      </w:r>
    </w:p>
    <w:p/>
    <w:p>
      <w:pPr/>
      <w:r>
        <w:rPr/>
        <w:t xml:space="preserve">وكانت له ديانه، وفيه مسكة وصيانه، وعنده للخير محبة وإيثار، وعنه في حسن المباشرات أحاديث مروية وآثار.</w:t>
      </w:r>
    </w:p>
    <w:p/>
    <w:p>
      <w:pPr/>
      <w:r>
        <w:rPr/>
        <w:t xml:space="preserve">وكان كافيا فيما يتولاه من الوظائف، وله على العوام سائق من مهابته وظائف، شكرت سيرته، وظهرت لما ظهرت بالأمانة سريرته، لم يعهد الناس منه إلا عفافا، ولم يباشر الحسبة إلا ودخل الناس منها جنات ألفافا.</w:t>
      </w:r>
    </w:p>
    <w:p/>
    <w:p>
      <w:pPr/>
      <w:r>
        <w:rPr/>
        <w:t xml:space="preserve">وما زال إلى أن لبى داعيه، وسمع الناس ناعيه.</w:t>
      </w:r>
    </w:p>
    <w:p/>
    <w:p>
      <w:pPr/>
      <w:r>
        <w:rPr/>
        <w:t xml:space="preserve">وتوفي -رحمه الله تعالى- بكرة الاثنين تاسع شهر ربيع الآخر سنة ست وثلاثين وسبع مئة.</w:t>
      </w:r>
    </w:p>
    <w:p/>
    <w:p>
      <w:pPr/>
      <w:r>
        <w:rPr/>
        <w:t xml:space="preserve">ومولده سنة ثلاث وسبعين وست مئة.</w:t>
      </w:r>
    </w:p>
    <w:p/>
    <w:p>
      <w:pPr/>
      <w:r>
        <w:rPr/>
        <w:t xml:space="preserve">وكان شكلا ضخما، عليه مهابة ووقار، يتحدث وهو مطرق، ولم يضرب أحدا من السوقية إلا دون العشرة ضربا خفيفا، وله في قلوبهم المهابة العظمى، باشر الحسبة مدة سنين، ووصل من مصر إلى دمشق في أوائل صفر مباشرا نظر الخزانة عوضا عن نجم الدين البصروي بحكم ولايته الوزارة.</w:t>
      </w:r>
    </w:p>
    <w:p/>
    <w:p>
      <w:pPr/>
      <w:r>
        <w:rPr/>
        <w:t xml:space="preserve">ولما شهد جماعة من رؤساء دمشق بأن الصاحب شمس الدين غبريال، إنما عمر أملاكه من بيت المال، لأنه كان فقيرا طلب عز الدين المذكور ليشهد بذلك، فقال. كيف أشهد وهو في كل شهر يصرف له جامكية من بيت المال بمبلغ عشرة آلاف درهم؟ وله هذه المدة الطويلة يتناول ذلك، ومن كان كذلك لا يكون فقيرا، ولم يشهد. فقالوا له: تعزل من وظائفك، فلم يوافق. وعزل من الحسبة، وبقي بيده نظر الخزانة. وأعجب ذلك الأمير سبف الدين تنكز، وأثنى عليه، ولما بلغ السلطان أعجبه دينه، ولم يحل أملاك الصاحب شمس الدين.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2026-07-25T03:27:03+03:00</dcterms:created>
  <dcterms:modified xsi:type="dcterms:W3CDTF">2026-07-25T03:27:03+03:00</dcterms:modified>
</cp:coreProperties>
</file>

<file path=docProps/custom.xml><?xml version="1.0" encoding="utf-8"?>
<Properties xmlns="http://schemas.openxmlformats.org/officeDocument/2006/custom-properties" xmlns:vt="http://schemas.openxmlformats.org/officeDocument/2006/docPropsVTypes"/>
</file>