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بيرم
</w:t>
      </w:r>
    </w:p>
    <w:p>
      <w:pPr>
        <w:jc w:val="start"/>
        <w:bidi/>
      </w:pPr>
      <w:r>
        <w:rPr>
          <w:rFonts w:ascii="arial" w:hAnsi="arial" w:eastAsia="arial" w:cs="arial"/>
          <w:sz w:val="28"/>
          <w:szCs w:val="28"/>
          <w:b w:val="1"/>
          <w:bCs w:val="1"/>
          <w:rtl/>
        </w:rPr>
        <w:t xml:space="preserve">محمد بيرم
</w:t>
      </w:r>
    </w:p>
    <w:p>
      <w:pPr/>
      <w:r>
        <w:rPr/>
        <w:t xml:space="preserve">محمد بيرم  محمد (بيرم الرابع) ابن محمد بيرم الثالث المتوفي سنة 1259هـ ، ابن محمد بيرم الثاني المتوفي سنة 1247 ابن محمد بيرم الاول المتوفي سنة 1240: اول من لقب بشيخ الاسلام في تونس. مولده ووفاته فيها. كان عالما بالحديث، له اشتغال بالتراجم واحاطة حسنة بالادب. ولي اعمالا آخرها الخطط الدينية، بحيث لايلي احد منها شيئا الا بانتخابه. وصنف كتبا، منها (تراجم خطباء الحنفية) و (الجواهر السنية) في شعر المتأخرين، (مجموعة -خ) في مشليخة واجازتهم له، و (كننيش) كثيرة. </w:t>
      </w:r>
    </w:p>
    <w:p>
      <w:pPr>
        <w:jc w:val="start"/>
        <w:bidi/>
      </w:pPr>
      <w:r>
        <w:rPr>
          <w:sz w:val="24"/>
          <w:szCs w:val="24"/>
          <w:b w:val="1"/>
          <w:bCs w:val="1"/>
          <w:rtl/>
        </w:rPr>
        <w:t xml:space="preserve">
الأعلام،(دار العلم للملايين - بيروت،2002،ط 15،ج 7،ص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2026-07-23T18:08:06+03:00</dcterms:created>
  <dcterms:modified xsi:type="dcterms:W3CDTF">2026-07-23T18:08:06+03:00</dcterms:modified>
</cp:coreProperties>
</file>

<file path=docProps/custom.xml><?xml version="1.0" encoding="utf-8"?>
<Properties xmlns="http://schemas.openxmlformats.org/officeDocument/2006/custom-properties" xmlns:vt="http://schemas.openxmlformats.org/officeDocument/2006/docPropsVTypes"/>
</file>