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الوهاب بن علي
</w:t>
      </w:r>
    </w:p>
    <w:p>
      <w:pPr>
        <w:jc w:val="start"/>
        <w:bidi/>
      </w:pPr>
      <w:r>
        <w:rPr>
          <w:rFonts w:ascii="arial" w:hAnsi="arial" w:eastAsia="arial" w:cs="arial"/>
          <w:sz w:val="28"/>
          <w:szCs w:val="28"/>
          <w:b w:val="1"/>
          <w:bCs w:val="1"/>
          <w:rtl/>
        </w:rPr>
        <w:t xml:space="preserve">محمد بن عبد الوهاب بن علي
</w:t>
      </w:r>
    </w:p>
    <w:p>
      <w:pPr/>
      <w:r>
        <w:rPr/>
        <w:t xml:space="preserve">محمد بن عبد الوهاب بن علي القاضي جمال الدين بن السديد الإسنائي.</w:t>
      </w:r>
    </w:p>
    <w:p/>
    <w:p>
      <w:pPr/>
      <w:r>
        <w:rPr/>
        <w:t xml:space="preserve">نشأ في سعادة ورئاسة، وسيادة ونفاسه. وكان له خدم، وأتباع وحشم، وكانت فيه صداره، وعليه رونق من السعادة والنضاره.</w:t>
      </w:r>
    </w:p>
    <w:p/>
    <w:p>
      <w:pPr/>
      <w:r>
        <w:rPr/>
        <w:t xml:space="preserve">وتوفي رحمه الله تعالى . . وسبع مئة.</w:t>
      </w:r>
    </w:p>
    <w:p/>
    <w:p>
      <w:pPr/>
      <w:r>
        <w:rPr/>
        <w:t xml:space="preserve">ومولده سنة ثمان وسبعين وست مئة.</w:t>
      </w:r>
    </w:p>
    <w:p/>
    <w:p>
      <w:pPr/>
      <w:r>
        <w:rPr/>
        <w:t xml:space="preserve">اشتغل بالعلم، وقرأ الفقه على الشيخ بهاء الدين القفطي، وأجازه بالفتوى. وتوجه إلى القاهرة، وسمع من الشيخ تقي الدين بن دقيق العيد، والحافظ شرف الدين الدمياطي، وقاضي القضاة ابن جماعة، وقرأ على شيخنا أثير الدين ’’الفصول في النحو’’، وعلى الخطيب الجزري ’’الأصول’’ وأجازه بالفتوى، وأجازه الشيخ فخر الدين عثمان بن بنت أبي سعد.</w:t>
      </w:r>
    </w:p>
    <w:p/>
    <w:p>
      <w:pPr/>
      <w:r>
        <w:rPr/>
        <w:t xml:space="preserve">وتعدل وجلس بالقاهرة وقوص، وتولى العقود، واستنابه زين الدين إسماعيل السفطي في الحكم بأرمنت، وتولى الخطابة بإسنا، وتولى الحكم بقمولا وقنا وقفط وأصغون، ثم ولي النيابة بقوص ثم إن قاضي القضاة جلال الدين القزويني قسم على قوص بينه وبين شهاب الدين أحمد بن عبد الرحيم بن حرمي القمولي، فتولى جمال الدين قوص والبر الشرقي وذاك في البر الغربي، وتزوج ببنت ابن حرمي للائتلاف، وأقبل جمال الدين على المتجر بجملته، واستمال ابن حرمي الوالي بالهدايا. فاتفق أن وقع الغلاء في قوص سنة خمس وثلاثين وسبع مئة، وكان عند جمال الدين تقدير ألفي إردب وخمس مئة إردب، فقال الوالي لجمال الدين: إنه يبيع بالسعر المعروف، فأراد التأخير لغلاء السعر، فكتب الوالي إلى السلطان، فبرز مرسومه بالحوطة عليه وإحضاره، وصرف عن القضاء. ثم إن جمال الدين تولى النيابة خارج باب النصر بالقاهرة بعد سنتين وشهرين مديدة لطيفة، فلما تولى قاضي القضاة عز الدين بن جماعة لم يوله.</w:t>
      </w:r>
    </w:p>
    <w:p>
      <w:pPr>
        <w:jc w:val="start"/>
        <w:bidi/>
      </w:pPr>
      <w:r>
        <w:rPr>
          <w:sz w:val="24"/>
          <w:szCs w:val="24"/>
          <w:b w:val="1"/>
          <w:bCs w:val="1"/>
          <w:rtl/>
        </w:rPr>
        <w:t xml:space="preserve">
أعيان العصر وأعوان النصر،(دار الفكر المعاصر، بيروت - لبنان / دار الفكر، دمشق - سوريا،1998،ط 1،ج 4،ص 557)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2026-07-27T14:13:44+03:00</dcterms:created>
  <dcterms:modified xsi:type="dcterms:W3CDTF">2026-07-27T14:13:44+03:00</dcterms:modified>
</cp:coreProperties>
</file>

<file path=docProps/custom.xml><?xml version="1.0" encoding="utf-8"?>
<Properties xmlns="http://schemas.openxmlformats.org/officeDocument/2006/custom-properties" xmlns:vt="http://schemas.openxmlformats.org/officeDocument/2006/docPropsVTypes"/>
</file>