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أبي القاسم
</w:t>
      </w:r>
    </w:p>
    <w:p>
      <w:pPr>
        <w:jc w:val="start"/>
        <w:bidi/>
      </w:pPr>
      <w:r>
        <w:rPr>
          <w:rFonts w:ascii="arial" w:hAnsi="arial" w:eastAsia="arial" w:cs="arial"/>
          <w:sz w:val="28"/>
          <w:szCs w:val="28"/>
          <w:b w:val="1"/>
          <w:bCs w:val="1"/>
          <w:rtl/>
        </w:rPr>
        <w:t xml:space="preserve">محمد بن عمر بن أبي القاسم
</w:t>
      </w:r>
    </w:p>
    <w:p>
      <w:pPr/>
      <w:r>
        <w:rPr/>
        <w:t xml:space="preserve">محمد بن عمر بن أبي القاسم القاضي الصدر الرئيس نجم الدين ابن الشيخ نجم الدين بن أبي الطيب وكيل بيت المال بدمشق وابن وكيل بيت المال بها.</w:t>
      </w:r>
    </w:p>
    <w:p/>
    <w:p>
      <w:pPr/>
      <w:r>
        <w:rPr/>
        <w:t xml:space="preserve">كان صدرا رئيسا وماجدا جعل الخلق الطلق عليه حبيسا، له معرفة تامة بتراجم أهل عصره ووقائعهم وما جرياتهم في وظائفهم وصنائعهم، إذا فتح له هذا الباب دخل عليه وحده، وسرد ما عنده.</w:t>
      </w:r>
    </w:p>
    <w:p/>
    <w:p>
      <w:pPr/>
      <w:r>
        <w:rPr/>
        <w:t xml:space="preserve">وباشر وظائف كبارا جادا له الدهر فيها بأمانه، وتقدم في آخر زمانه. وكان مع ذلك عديم الشر وادعا، قائلا بالحق صادعا.</w:t>
      </w:r>
    </w:p>
    <w:p/>
    <w:p>
      <w:pPr/>
      <w:r>
        <w:rPr/>
        <w:t xml:space="preserve">ولم يزل على حاله إلى أن غاب نجمه في الثرى، وسلك الطريق التي ما يتخلف عنها أحد من الورى.</w:t>
      </w:r>
    </w:p>
    <w:p/>
    <w:p>
      <w:pPr/>
      <w:r>
        <w:rPr/>
        <w:t xml:space="preserve">وتوفي رحمه الله تعالى في رابع شعبان سنة اثنتين وأربعين وسبع مئة، توفي من جمرة ظهرت في وجهه، أقام معها يومين، ومات -رحمه الله تعالى-.</w:t>
      </w:r>
    </w:p>
    <w:p/>
    <w:p>
      <w:pPr/>
      <w:r>
        <w:rPr/>
        <w:t xml:space="preserve">وكان شافعي المذهب. حسن الشكل، تام الخلق له تودد وملقى وملق.</w:t>
      </w:r>
    </w:p>
    <w:p/>
    <w:p>
      <w:pPr/>
      <w:r>
        <w:rPr/>
        <w:t xml:space="preserve">وكان قد تزوج ابنة القاضي محيي الدين بن فضل الله، ولم يزل على حاله الناقص إلى أن توجه محيي الدين إلى مصر كاتب سر، فتولى بواسطته نظر الخزانة، ووكالة بيت المال، وكان بيده أولا نظر الرباع وتدريس المدرسة الكروسية، وتولى الوكالة بعد القاضي شهاب الدين بن المجد لما صار قاضي القضاة في يوم عرفة سنة أربع وثلاثين وسبع مئة، وكان ابن المجد قد وليها بعد القاضي علاء الدين بن القلانسي، وكان علاء الدين قد وليها بعد أخيه القاضي جمال الدين أحمد بن القلانسي، وكان قد وليها بعد كمال الدين بن الشريشي، وكان ابن الشريشي قد وليها بعد الشيخ كمال الدين بن الزملكاني، وكان قد وليها بعد نجم الدين بن أبي الطيب والد صاحب هذه الترجمة. وقد تقدم الكلام في ترجمة والده لأي شيء سمي هذا البيت بابن أبي الطيب.</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2026-07-27T13:23:41+03:00</dcterms:created>
  <dcterms:modified xsi:type="dcterms:W3CDTF">2026-07-27T13:23:41+03:00</dcterms:modified>
</cp:coreProperties>
</file>

<file path=docProps/custom.xml><?xml version="1.0" encoding="utf-8"?>
<Properties xmlns="http://schemas.openxmlformats.org/officeDocument/2006/custom-properties" xmlns:vt="http://schemas.openxmlformats.org/officeDocument/2006/docPropsVTypes"/>
</file>