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
</w:t>
      </w:r>
    </w:p>
    <w:p>
      <w:pPr/>
      <w:r>
        <w:rPr/>
        <w:t xml:space="preserve">محمد بن يحيى المعمر الصالح كمال الدين، ابن القاضي محيي الدين بن الزكي القرشي.</w:t>
      </w:r>
    </w:p>
    <w:p/>
    <w:p>
      <w:pPr/>
      <w:r>
        <w:rPr/>
        <w:t xml:space="preserve">حدث عن ابن النحاس، ودرس بأماكن.</w:t>
      </w:r>
    </w:p>
    <w:p/>
    <w:p>
      <w:pPr/>
      <w:r>
        <w:rPr/>
        <w:t xml:space="preserve">وتوفي رحمه الله تعالى سنة أربع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2026-07-24T21:48:53+03:00</dcterms:created>
  <dcterms:modified xsi:type="dcterms:W3CDTF">2026-07-24T21:48:53+03:00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