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المؤيد الخوارزمي
</w:t>
      </w:r>
    </w:p>
    <w:p>
      <w:pPr>
        <w:jc w:val="start"/>
        <w:bidi/>
      </w:pPr>
      <w:r>
        <w:rPr>
          <w:rFonts w:ascii="arial" w:hAnsi="arial" w:eastAsia="arial" w:cs="arial"/>
          <w:sz w:val="28"/>
          <w:szCs w:val="28"/>
          <w:b w:val="1"/>
          <w:bCs w:val="1"/>
          <w:rtl/>
        </w:rPr>
        <w:t xml:space="preserve">أبو المؤيد الخوارزمي
</w:t>
      </w:r>
    </w:p>
    <w:p>
      <w:pPr/>
      <w:r>
        <w:rPr/>
        <w:t xml:space="preserve">أبو المؤيد الخوارزمي  محمد بن محمود بن محمد بن حسن، ابو المؤيد الخوارزمي: فقيه حنفي، ينعت بالخطيب. ولد وعاش بخوارزم، وحج وجاور. وعاد عن طريق مصر فدمشق، ونزل ببغداد فدرس بها إلى ان مات. له (جامع مسانيد الامام ابي حنيفة -ط) جزآن. </w:t>
      </w:r>
    </w:p>
    <w:p>
      <w:pPr>
        <w:jc w:val="start"/>
        <w:bidi/>
      </w:pPr>
      <w:r>
        <w:rPr>
          <w:sz w:val="24"/>
          <w:szCs w:val="24"/>
          <w:b w:val="1"/>
          <w:bCs w:val="1"/>
          <w:rtl/>
        </w:rPr>
        <w:t xml:space="preserve">
الأعلام،(دار العلم للملايين - بيروت،2002،ط 15،ج 7،ص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أبو المؤيد الخوارزمي
</w:t>
      </w:r>
    </w:p>
    <w:p>
      <w:pPr/>
      <w:r>
        <w:rPr/>
        <w:t xml:space="preserve">محمد بن محمود، أبو المؤيد الخوارزمي ومحمد بن محمود بن محمد بن حسن، الإمام، أبو المؤيد، الخوارزمي.</w:t>
      </w:r>
    </w:p>
    <w:p/>
    <w:p>
      <w:pPr/>
      <w:r>
        <w:rPr/>
        <w:t xml:space="preserve">مولده ثاني عشر ذي الحجة، سنة ثلاث وتسعين وخمسمائة.</w:t>
      </w:r>
    </w:p>
    <w:p/>
    <w:p>
      <w:pPr/>
      <w:r>
        <w:rPr/>
        <w:t xml:space="preserve">تفقه على الإمام طاهر بن محمد الحفصي. وسمع بخوارزم. وقدم بغداد، وسمع بها. وقدم دمشق وسمع بها، وحدث.</w:t>
      </w:r>
    </w:p>
    <w:p/>
    <w:p>
      <w:pPr/>
      <w:r>
        <w:rPr/>
        <w:t xml:space="preserve">وولي قضاء خوارزم وخطابتها بعد أخذ التتار لها، ثم تركها، وقدم بغداد حاجا، فحج وجاور، ورجع إلى مصر ثم إلى دمشق ثم إلى بغداد، ودرس بها. وصنف ’’مسانيد الإمام أبي حنيفة’’ في مجلدين جمع فيهما بين خمسة عشر مصنفا. وقد رويناه عن قاضي بغداد، عن عمه، عن ابن الصباغ، عنه.</w:t>
      </w:r>
    </w:p>
    <w:p/>
    <w:p>
      <w:pPr/>
      <w:r>
        <w:rPr/>
        <w:t xml:space="preserve">وتوفي في ذي العقدة سنة خمس وخمسين وستمائة.</w:t>
      </w:r>
    </w:p>
    <w:p>
      <w:pPr>
        <w:jc w:val="start"/>
        <w:bidi/>
      </w:pPr>
      <w:r>
        <w:rPr>
          <w:sz w:val="24"/>
          <w:szCs w:val="24"/>
          <w:b w:val="1"/>
          <w:bCs w:val="1"/>
          <w:rtl/>
        </w:rPr>
        <w:t xml:space="preserve">
تاج التراجم في طبقات الحنفية،(دار القلم - دمشق،1992،ط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2026-07-27T13:15:33+03:00</dcterms:created>
  <dcterms:modified xsi:type="dcterms:W3CDTF">2026-07-27T13:15:33+03:00</dcterms:modified>
</cp:coreProperties>
</file>

<file path=docProps/custom.xml><?xml version="1.0" encoding="utf-8"?>
<Properties xmlns="http://schemas.openxmlformats.org/officeDocument/2006/custom-properties" xmlns:vt="http://schemas.openxmlformats.org/officeDocument/2006/docPropsVTypes"/>
</file>