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الواني
</w:t>
      </w:r>
    </w:p>
    <w:p>
      <w:pPr/>
      <w:r>
        <w:rPr/>
        <w:t xml:space="preserve">محمد الواني  محمد بن مصطفى الواني، ويعرف بوان قولي: فقيه حنفي رومي. تولى التدريس والقضاء في بلاده. له تآليف عربية، منها (اثبات المسموعات -خ) و (تعليقات على درر الحاكم في شرح غرر الاحاكم -خ) في فقه الحنية يسى (نقد الدرر) ورسالة في (كراهية الذكر كتاب (الصحاح) للجوهري، و (كيمياء السعادة) للغزالي.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2026-07-27T11:03:20+03:00</dcterms:created>
  <dcterms:modified xsi:type="dcterms:W3CDTF">2026-07-27T11:03:20+03:00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