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الأدرنوي
</w:t>
      </w:r>
    </w:p>
    <w:p>
      <w:pPr>
        <w:jc w:val="start"/>
        <w:bidi/>
      </w:pPr>
      <w:r>
        <w:rPr>
          <w:rFonts w:ascii="arial" w:hAnsi="arial" w:eastAsia="arial" w:cs="arial"/>
          <w:sz w:val="28"/>
          <w:szCs w:val="28"/>
          <w:b w:val="1"/>
          <w:bCs w:val="1"/>
          <w:rtl/>
        </w:rPr>
        <w:t xml:space="preserve">الأدرنوي
</w:t>
      </w:r>
    </w:p>
    <w:p>
      <w:pPr/>
      <w:r>
        <w:rPr/>
        <w:t xml:space="preserve">الأدرنوي  إبراهيم بن حمزة بن مسعود، تاج الدين التيروي، الأدرنوي: واعظ رومي من أهل تيرة (في تركيا) قام بالتدريس (سنة 933) في ’’جامع نقطه جي’’ بأدرنة، ونسب إليها. ثم هاجر إلى مكة مجاورا على أن توفي. صنف وهو في أدرنة (جامع الأنوار ونزهة الأبصار - خ) في أوقاف العراق 4914 تفسير ومواعظ. </w:t>
      </w:r>
    </w:p>
    <w:p>
      <w:pPr>
        <w:jc w:val="start"/>
        <w:bidi/>
      </w:pPr>
      <w:r>
        <w:rPr>
          <w:sz w:val="24"/>
          <w:szCs w:val="24"/>
          <w:b w:val="1"/>
          <w:bCs w:val="1"/>
          <w:rtl/>
        </w:rPr>
        <w:t xml:space="preserve">
الأعلام،(دار العلم للملايين - بيروت،2002،ط 15،ج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2026-07-27T08:20:20+03:00</dcterms:created>
  <dcterms:modified xsi:type="dcterms:W3CDTF">2026-07-27T08:20:20+03:00</dcterms:modified>
</cp:coreProperties>
</file>

<file path=docProps/custom.xml><?xml version="1.0" encoding="utf-8"?>
<Properties xmlns="http://schemas.openxmlformats.org/officeDocument/2006/custom-properties" xmlns:vt="http://schemas.openxmlformats.org/officeDocument/2006/docPropsVTypes"/>
</file>