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منيب هاشم
</w:t>
      </w:r>
    </w:p>
    <w:p>
      <w:pPr>
        <w:jc w:val="start"/>
        <w:bidi/>
      </w:pPr>
      <w:r>
        <w:rPr>
          <w:rFonts w:ascii="arial" w:hAnsi="arial" w:eastAsia="arial" w:cs="arial"/>
          <w:sz w:val="28"/>
          <w:szCs w:val="28"/>
          <w:b w:val="1"/>
          <w:bCs w:val="1"/>
          <w:rtl/>
        </w:rPr>
        <w:t xml:space="preserve">منيب هاشم
</w:t>
      </w:r>
    </w:p>
    <w:p>
      <w:pPr/>
      <w:r>
        <w:rPr/>
        <w:t xml:space="preserve">منيب هاشم  محمد منيب بن محمود بن مصطفى بن عبد الله بن محمد هاشم، الجعفري، من سلالة جعفر بن ابي طالب: فقيه وجيه، من رجال القضاء. من أهل نابلس (بفلسطين) مولدا ووفاة. تعلم في الازهر بمصؤ. ورحل استنانبول فعين في مجلس تدقيق المؤلفات (سنة 1307هـ) ثم قضيا في طرابلس الشام (سنة 1309) فقاضيا في لواء قره سي (من اعمال ولاية بروسة) فقاضيا في لواء بنغازي، فمفتيا في نابلس. من كتبه (مجموعة مشتملة على سبع رسائل -ط) اولها (القول السديد في احكام التقليد) وآخرها (غاية التبيان في مباديء علم البيان) وله (حميد الآثار في نظم تنوير الابصار -ط) في فقه الحنفية.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2026-07-27T11:29:33+03:00</dcterms:created>
  <dcterms:modified xsi:type="dcterms:W3CDTF">2026-07-27T11:29:33+03:00</dcterms:modified>
</cp:coreProperties>
</file>

<file path=docProps/custom.xml><?xml version="1.0" encoding="utf-8"?>
<Properties xmlns="http://schemas.openxmlformats.org/officeDocument/2006/custom-properties" xmlns:vt="http://schemas.openxmlformats.org/officeDocument/2006/docPropsVTypes"/>
</file>