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ظهيرة
</w:t>
      </w:r>
    </w:p>
    <w:p>
      <w:pPr>
        <w:jc w:val="start"/>
        <w:bidi/>
      </w:pPr>
      <w:r>
        <w:rPr>
          <w:rFonts w:ascii="arial" w:hAnsi="arial" w:eastAsia="arial" w:cs="arial"/>
          <w:sz w:val="28"/>
          <w:szCs w:val="28"/>
          <w:b w:val="1"/>
          <w:bCs w:val="1"/>
          <w:rtl/>
        </w:rPr>
        <w:t xml:space="preserve">ابن ظهيرة
</w:t>
      </w:r>
    </w:p>
    <w:p>
      <w:pPr/>
      <w:r>
        <w:rPr/>
        <w:t xml:space="preserve">ابن ظهيرة  أحمد بن محمد بن محمد بن محمد ابن حسين بن علي، أبو الطيب، محب الدين المعروف كسلفه بابن ظهيرة القرشي المخزومي: قاضي مكة الشافعي، وابن قاضيها. مولده ووفاته بها. تفقه وناب في القضاء عن أبيه سنة 847 واستقل به بعد وفاة أبيه. وفصل وأعيد وأضيف إليه نظر الحرم وقضاء جدة، ثم انفصل إلى أن مات. ورجح بعض الفضلاء أنه مصنف كتاب ’’ الفضائل الباهرة في محاسن القاهرة - ط) على أن الكتاب يشتمل على شيء مما بعد وفاته قيل: أنه زيد عليه؟. </w:t>
      </w:r>
    </w:p>
    <w:p>
      <w:pPr>
        <w:jc w:val="start"/>
        <w:bidi/>
      </w:pPr>
      <w:r>
        <w:rPr>
          <w:sz w:val="24"/>
          <w:szCs w:val="24"/>
          <w:b w:val="1"/>
          <w:bCs w:val="1"/>
          <w:rtl/>
        </w:rPr>
        <w:t xml:space="preserve">
الأعلام،(دار العلم للملايين - بيروت،2002،ط 15،ج 1،ص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2026-07-27T10:57:09+03:00</dcterms:created>
  <dcterms:modified xsi:type="dcterms:W3CDTF">2026-07-27T10:57:09+03:00</dcterms:modified>
</cp:coreProperties>
</file>

<file path=docProps/custom.xml><?xml version="1.0" encoding="utf-8"?>
<Properties xmlns="http://schemas.openxmlformats.org/officeDocument/2006/custom-properties" xmlns:vt="http://schemas.openxmlformats.org/officeDocument/2006/docPropsVTypes"/>
</file>