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غلامك
</w:t>
      </w:r>
    </w:p>
    <w:p>
      <w:pPr>
        <w:jc w:val="start"/>
        <w:bidi/>
      </w:pPr>
      <w:r>
        <w:rPr>
          <w:rFonts w:ascii="arial" w:hAnsi="arial" w:eastAsia="arial" w:cs="arial"/>
          <w:sz w:val="28"/>
          <w:szCs w:val="28"/>
          <w:b w:val="1"/>
          <w:bCs w:val="1"/>
          <w:rtl/>
        </w:rPr>
        <w:t xml:space="preserve">غلامك
</w:t>
      </w:r>
    </w:p>
    <w:p>
      <w:pPr/>
      <w:r>
        <w:rPr/>
        <w:t xml:space="preserve">غلامك  محمد بن موسى البوسنوي السرائي، الشهير بغلامك: فاضل، من علماء الترك المستعربين. كان قاضي القضاة بحلب. ولد في بلدة (سراي) بالبوسنة. وامل تعليمه في استانبول، وولي قضاء حلب، واشتهر. وفي أوآخر ايامه سافر إلى (أسكدار) ثم إلى (حصار) ولزم الخلوة. له (حاشية على شرح على الجامي على كافية ابن الحاجب) و (حاشية على تفسير البضاوي -خ) قطعة منها، و (حاشية على شرح القب للشمسية) و (حاشية على شرح المفتاح للسيد) و (الاعتراضات على العصام) وغير ذلك. والكاف في غلامك للتصغير بالفارسية كما هي في مصنفك وأمثال. </w:t>
      </w:r>
    </w:p>
    <w:p>
      <w:pPr>
        <w:jc w:val="start"/>
        <w:bidi/>
      </w:pPr>
      <w:r>
        <w:rPr>
          <w:sz w:val="24"/>
          <w:szCs w:val="24"/>
          <w:b w:val="1"/>
          <w:bCs w:val="1"/>
          <w:rtl/>
        </w:rPr>
        <w:t xml:space="preserve">
الأعلام،(دار العلم للملايين - بيروت،2002،ط 15،ج 7،ص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2026-07-23T18:34:27+03:00</dcterms:created>
  <dcterms:modified xsi:type="dcterms:W3CDTF">2026-07-23T18:34:27+03:00</dcterms:modified>
</cp:coreProperties>
</file>

<file path=docProps/custom.xml><?xml version="1.0" encoding="utf-8"?>
<Properties xmlns="http://schemas.openxmlformats.org/officeDocument/2006/custom-properties" xmlns:vt="http://schemas.openxmlformats.org/officeDocument/2006/docPropsVTypes"/>
</file>