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إسماعيل بن أحمد بن عبد المؤمن
</w:t>
      </w:r>
    </w:p>
    <w:p>
      <w:pPr>
        <w:jc w:val="start"/>
        <w:bidi/>
      </w:pPr>
      <w:r>
        <w:rPr>
          <w:rFonts w:ascii="arial" w:hAnsi="arial" w:eastAsia="arial" w:cs="arial"/>
          <w:sz w:val="28"/>
          <w:szCs w:val="28"/>
          <w:b w:val="1"/>
          <w:bCs w:val="1"/>
          <w:rtl/>
        </w:rPr>
        <w:t xml:space="preserve">إبراهيم بن إسماعيل بن أحمد بن عبد المؤمن
</w:t>
      </w:r>
    </w:p>
    <w:p>
      <w:pPr/>
      <w:r>
        <w:rPr/>
        <w:t xml:space="preserve">إبراهيم بن إسماعيل بن أحمد بن عبد المؤمن حدثنا إبراهيم بن إسماعيل، حدثنا أبي، حدثنا عمرو بن هاشم، حدثنا سليمان بن أبي كريمة، عن ابن جريج، عن عطاء، عن ابن عباس، قال: قال رسول الله صلى الله عليه وسلم: «من أسلم على شيء فهو له»</w:t>
      </w:r>
    </w:p>
    <w:p>
      <w:pPr>
        <w:jc w:val="start"/>
        <w:bidi/>
      </w:pPr>
      <w:r>
        <w:rPr>
          <w:sz w:val="24"/>
          <w:szCs w:val="24"/>
          <w:b w:val="1"/>
          <w:bCs w:val="1"/>
          <w:rtl/>
        </w:rPr>
        <w:t xml:space="preserve">
معجم الشيوخ للصيداوي،(مؤسسة الرسالة , دار الإيمان - بيروت , طرابلس،0،ط 1،ج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2026-07-27T12:29:25+03:00</dcterms:created>
  <dcterms:modified xsi:type="dcterms:W3CDTF">2026-07-27T12:29:25+03:00</dcterms:modified>
</cp:coreProperties>
</file>

<file path=docProps/custom.xml><?xml version="1.0" encoding="utf-8"?>
<Properties xmlns="http://schemas.openxmlformats.org/officeDocument/2006/custom-properties" xmlns:vt="http://schemas.openxmlformats.org/officeDocument/2006/docPropsVTypes"/>
</file>