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المؤمني
</w:t>
      </w:r>
    </w:p>
    <w:p>
      <w:pPr>
        <w:jc w:val="start"/>
        <w:bidi/>
      </w:pPr>
      <w:r>
        <w:rPr>
          <w:rFonts w:ascii="arial" w:hAnsi="arial" w:eastAsia="arial" w:cs="arial"/>
          <w:sz w:val="28"/>
          <w:szCs w:val="28"/>
          <w:b w:val="1"/>
          <w:bCs w:val="1"/>
          <w:rtl/>
        </w:rPr>
        <w:t xml:space="preserve">الناصر المؤمني
</w:t>
      </w:r>
    </w:p>
    <w:p>
      <w:pPr/>
      <w:r>
        <w:rPr/>
        <w:t xml:space="preserve">الناصر المؤمني  محمد بن يعقوب بن يوسف بن عبد المؤمن الزناتي الكومي الموحدي، الناصر لدين الله: من خلفاء دولة الموحدين. كان له المغرب الأقصى وافريقية والاندلس. بويع في حياة ابيه وجددت له البيعة بعد وفاته (سنة595هـ) وكان في مراكش فانتقل إلى فاس. وثار عليه يحيى بن اسحاق المسوفي المعروف بابن غانية، فاستولى على طرابلس والمهدية وتونس، فقاتله الناصر واستخلصها منه وقتله سنة602 وفي ايامه كانت وقعة (العقاب) المشهورة بالاندلس (سنة609) بينه وبين الافرنج. وقد استشهد في هذه الوقعة عدد كبير من المسلمين. وعاد بعدها إلى مراكش. وتوفي في رباط الفتح. وكان داهية، من عظماء هذه الدولة. </w:t>
      </w:r>
    </w:p>
    <w:p>
      <w:pPr>
        <w:jc w:val="start"/>
        <w:bidi/>
      </w:pPr>
      <w:r>
        <w:rPr>
          <w:sz w:val="24"/>
          <w:szCs w:val="24"/>
          <w:b w:val="1"/>
          <w:bCs w:val="1"/>
          <w:rtl/>
        </w:rPr>
        <w:t xml:space="preserve">
الأعلام،(دار العلم للملايين - بيروت،2002،ط 15،ج 7،ص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2026-07-27T10:28:49+03:00</dcterms:created>
  <dcterms:modified xsi:type="dcterms:W3CDTF">2026-07-27T10:28:49+03:00</dcterms:modified>
</cp:coreProperties>
</file>

<file path=docProps/custom.xml><?xml version="1.0" encoding="utf-8"?>
<Properties xmlns="http://schemas.openxmlformats.org/officeDocument/2006/custom-properties" xmlns:vt="http://schemas.openxmlformats.org/officeDocument/2006/docPropsVTypes"/>
</file>