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بن علي بن يحيى
</w:t>
      </w:r>
    </w:p>
    <w:p>
      <w:pPr>
        <w:jc w:val="start"/>
        <w:bidi/>
      </w:pPr>
      <w:r>
        <w:rPr>
          <w:rFonts w:ascii="arial" w:hAnsi="arial" w:eastAsia="arial" w:cs="arial"/>
          <w:sz w:val="28"/>
          <w:szCs w:val="28"/>
          <w:b w:val="1"/>
          <w:bCs w:val="1"/>
          <w:rtl/>
        </w:rPr>
        <w:t xml:space="preserve">إبراهيم بن عبد الله بن علي بن يحيى
</w:t>
      </w:r>
    </w:p>
    <w:p>
      <w:pPr/>
      <w:r>
        <w:rPr/>
        <w:t xml:space="preserve">إبراهيم بن عبد الله بن علي بن يحيى إبراهيم بن عبد الله بن علي بن يحيى بن خلف المقرئ الشيخ برهان الدين الحكري اعتنى بالعربية والقراآت وأخذ عن بهاء الدين ابن النحاس وتلا على التقي الصائغ وعلى نور الدين علي بن ظهير عرف بابن الكفتي وسمع الحديث من الأبرقوهي والدمياطي وابن الصواف ولازم درس الشيخ أبي حيان وأخذ الناس عنه في القراآت وكان حسن التعليم أخذ عنه شيخنا برهان الدين وغيره ومات في الطاعون العام في أواخر ذي القعدة سنة 749 وكان مولده سنة نيف وسبعين وستمائة ذكره الذهبي في آخر الطبقات في أصحاب الصائغ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علي بن يحيى بن خلف المقرئ النحوي برهان الدين الحكري
</w:t>
      </w:r>
    </w:p>
    <w:p>
      <w:pPr>
        <w:jc w:val="both"/>
      </w:pPr>
      <w:r>
        <w:rPr/>
        <w:t xml:space="preserve">إبراهيم بن عبد الله بن علي بن يحيى بن خلف المقرئ النحوي برهان الدين الحكري.</w:t>
      </w:r>
    </w:p>
    <w:p>
      <w:pPr>
        <w:jc w:val="both"/>
      </w:pPr>
      <w:r>
        <w:rPr/>
        <w:t xml:space="preserve">كان إماما في القراءات، نحويا مفسرا، يضرب به المثل في حسن التلاوة أخذ العربية عن البهاء بن النحاس، وتلا على التقي الصائغ، وابن الكفتي ولازم درس أبي حيان، وأخذ عنه الناس. وكان حسن التعليم، وسمع الحديث من الدمياطي، والأبرقوهي.</w:t>
      </w:r>
    </w:p>
    <w:p>
      <w:pPr>
        <w:jc w:val="both"/>
      </w:pPr>
      <w:r>
        <w:rPr/>
        <w:t xml:space="preserve">مولده سنة نيف وسبعين وستمائة، ومات في الطاعون العام في ذي القعدة سنة تسع وأربعين وسبعمائة.</w:t>
      </w:r>
    </w:p>
    <w:p>
      <w:pPr>
        <w:jc w:val="start"/>
        <w:bidi/>
      </w:pPr>
      <w:r>
        <w:rPr>
          <w:sz w:val="24"/>
          <w:szCs w:val="24"/>
          <w:b w:val="1"/>
          <w:bCs w:val="1"/>
          <w:rtl/>
        </w:rPr>
        <w:t xml:space="preserve">
طبقات المفسرين للداوودي،(دار الكتب العلمية - بيروت،0000،ط 0،ج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علي بن يحيى بن خلف المقرئ برهان الدين الحكري
</w:t>
      </w:r>
    </w:p>
    <w:p>
      <w:pPr/>
      <w:r>
        <w:rPr/>
        <w:t xml:space="preserve">إبراهيم بن عبد الله بن علي بن يحيى بن خلف المقرئ برهان الدين الحكري أخذ النحو عن البهاء بن الناحس، ولازم أبا حيان، وسمع الحديث من الدمياطي، والأبرقوهي.</w:t>
      </w:r>
    </w:p>
    <w:p/>
    <w:p>
      <w:pPr/>
      <w:r>
        <w:rPr/>
        <w:t xml:space="preserve">ولد سنة نيف وسبعين وستمائة وتوفي بالطاعون العام سنة 749.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2026-07-25T09:04:08+03:00</dcterms:created>
  <dcterms:modified xsi:type="dcterms:W3CDTF">2026-07-25T09:04:08+03:00</dcterms:modified>
</cp:coreProperties>
</file>

<file path=docProps/custom.xml><?xml version="1.0" encoding="utf-8"?>
<Properties xmlns="http://schemas.openxmlformats.org/officeDocument/2006/custom-properties" xmlns:vt="http://schemas.openxmlformats.org/officeDocument/2006/docPropsVTypes"/>
</file>