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آقبغا الناصري
</w:t>
      </w:r>
    </w:p>
    <w:p>
      <w:pPr>
        <w:jc w:val="start"/>
        <w:bidi/>
      </w:pPr>
      <w:r>
        <w:rPr>
          <w:rFonts w:ascii="arial" w:hAnsi="arial" w:eastAsia="arial" w:cs="arial"/>
          <w:sz w:val="28"/>
          <w:szCs w:val="28"/>
          <w:b w:val="1"/>
          <w:bCs w:val="1"/>
          <w:rtl/>
        </w:rPr>
        <w:t xml:space="preserve">آقبغا الناصري
</w:t>
      </w:r>
    </w:p>
    <w:p>
      <w:pPr/>
      <w:r>
        <w:rPr/>
        <w:t xml:space="preserve">آقبغا الناصري آقبغا الناصري - نسبة للناصر حسن - تنقل إلى أن عمل دويدارا عند يلبغا ثم عند الأشرف شعبان ثم نفي إلى الشام بطالا ثم أعيد إلى القاهرة وأمر طبلخاناة في سنة 774 ثم أعطي نيابة الكرك ثم نيابة بهسنا ومات بها في سنة بضع وسبعين وسبعمائة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2026-07-27T10:53:15+03:00</dcterms:created>
  <dcterms:modified xsi:type="dcterms:W3CDTF">2026-07-27T10:53:15+03:00</dcterms:modified>
</cp:coreProperties>
</file>

<file path=docProps/custom.xml><?xml version="1.0" encoding="utf-8"?>
<Properties xmlns="http://schemas.openxmlformats.org/officeDocument/2006/custom-properties" xmlns:vt="http://schemas.openxmlformats.org/officeDocument/2006/docPropsVTypes"/>
</file>