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بن عبد الله الذهبي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عبد الله الذهبي
</w:t>
      </w:r>
    </w:p>
    <w:p>
      <w:pPr/>
      <w:r>
        <w:rPr/>
        <w:t xml:space="preserve">إياس بن عبد الله الذهبي إياس بن عبد الله الذهبي ولد سنة 687 تقريبا أنشدنا عنه البدر النابلسي في مشيخته أنه أنشده لنفسه</w:t>
      </w:r>
    </w:p>
    <w:p/>
    <w:p>
      <w:pPr>
        <w:jc w:val="center"/>
      </w:pPr>
      <w:r>
        <w:rPr>
          <w:color w:val="ff0000"/>
        </w:rPr>
        <w:t xml:space="preserve">كسر الخليج وكان ذلك نعمة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سرت قلوب المسلمين بسره</w:t>
      </w:r>
    </w:p>
    <w:p/>
    <w:p>
      <w:pPr>
        <w:jc w:val="center"/>
      </w:pPr>
      <w:r>
        <w:rPr>
          <w:color w:val="ff0000"/>
        </w:rPr>
        <w:t xml:space="preserve">ومن العجائب والغرائب 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جبرت قلوب العالمين بكسره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2026-07-27T14:14:38+03:00</dcterms:created>
  <dcterms:modified xsi:type="dcterms:W3CDTF">2026-07-27T14:14:38+03:00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