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أيدغدي الشمس المصري سيف الدين
</w:t>
      </w:r>
    </w:p>
    <w:p>
      <w:pPr>
        <w:jc w:val="start"/>
        <w:bidi/>
      </w:pPr>
      <w:r>
        <w:rPr>
          <w:rFonts w:ascii="arial" w:hAnsi="arial" w:eastAsia="arial" w:cs="arial"/>
          <w:sz w:val="28"/>
          <w:szCs w:val="28"/>
          <w:b w:val="1"/>
          <w:bCs w:val="1"/>
          <w:rtl/>
        </w:rPr>
        <w:t xml:space="preserve">أبو بكر بن أيدغدي الشمس المصري سيف الدين
</w:t>
      </w:r>
    </w:p>
    <w:p>
      <w:pPr/>
      <w:r>
        <w:rPr/>
        <w:t xml:space="preserve">أبو بكر بن أيدغدي الشمس المصري سيف الدين أبو بكر بن أيدغدي الشمس المصري سيف الدين من أولاد الجند تلا على التقي الصائغ وأبي حيان وابن السراج والدلاصي بمكة والجعبري بالخليل وأبي القاسم ابن سهل وغيرهم وقال الذهبي له عمل كثير في الفن وبصر بالعربية وفيه دين وحياء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2026-07-27T15:15:16+03:00</dcterms:created>
  <dcterms:modified xsi:type="dcterms:W3CDTF">2026-07-27T15:15:16+03:00</dcterms:modified>
</cp:coreProperties>
</file>

<file path=docProps/custom.xml><?xml version="1.0" encoding="utf-8"?>
<Properties xmlns="http://schemas.openxmlformats.org/officeDocument/2006/custom-properties" xmlns:vt="http://schemas.openxmlformats.org/officeDocument/2006/docPropsVTypes"/>
</file>