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الشرفي
</w:t>
      </w:r>
    </w:p>
    <w:p>
      <w:pPr>
        <w:jc w:val="start"/>
        <w:bidi/>
      </w:pPr>
      <w:r>
        <w:rPr>
          <w:rFonts w:ascii="arial" w:hAnsi="arial" w:eastAsia="arial" w:cs="arial"/>
          <w:sz w:val="28"/>
          <w:szCs w:val="28"/>
          <w:b w:val="1"/>
          <w:bCs w:val="1"/>
          <w:rtl/>
        </w:rPr>
        <w:t xml:space="preserve">الشرفي
</w:t>
      </w:r>
    </w:p>
    <w:p>
      <w:pPr/>
      <w:r>
        <w:rPr/>
        <w:t xml:space="preserve">الشرفي  أحمد بن محمد بن صلاح بن محمد الحرازي الشرفي: فقيه يماني، مؤرخ، له اشتغال بالأدب. من أهل هجرة القويعة بالشاهل من بلاد (الشرف) الأسفل، في الشمال الغربي من صنعاء. له كتب، منها (اللآلى المضية) في شرح قصيدة لصارم الدين إبراهيم بن محمد عارض بها (البسامة)في ثلاث مجلدات، و (شرح الأزهار) في فقه الزيدية، أربع مجلدات. </w:t>
      </w:r>
    </w:p>
    <w:p>
      <w:pPr>
        <w:jc w:val="start"/>
        <w:bidi/>
      </w:pPr>
      <w:r>
        <w:rPr>
          <w:sz w:val="24"/>
          <w:szCs w:val="24"/>
          <w:b w:val="1"/>
          <w:bCs w:val="1"/>
          <w:rtl/>
        </w:rPr>
        <w:t xml:space="preserve">
الأعلام،(دار العلم للملايين - بيروت،2002،ط 15،ج 1،ص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2026-07-23T18:37:51+03:00</dcterms:created>
  <dcterms:modified xsi:type="dcterms:W3CDTF">2026-07-23T18:37:51+03:00</dcterms:modified>
</cp:coreProperties>
</file>

<file path=docProps/custom.xml><?xml version="1.0" encoding="utf-8"?>
<Properties xmlns="http://schemas.openxmlformats.org/officeDocument/2006/custom-properties" xmlns:vt="http://schemas.openxmlformats.org/officeDocument/2006/docPropsVTypes"/>
</file>