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حسن المرواني
</w:t>
      </w:r>
    </w:p>
    <w:p>
      <w:pPr>
        <w:jc w:val="start"/>
        <w:bidi/>
      </w:pPr>
      <w:r>
        <w:rPr>
          <w:rFonts w:ascii="arial" w:hAnsi="arial" w:eastAsia="arial" w:cs="arial"/>
          <w:sz w:val="28"/>
          <w:szCs w:val="28"/>
          <w:b w:val="1"/>
          <w:bCs w:val="1"/>
          <w:rtl/>
        </w:rPr>
        <w:t xml:space="preserve">علي بن حسن المرواني
</w:t>
      </w:r>
    </w:p>
    <w:p>
      <w:pPr/>
      <w:r>
        <w:rPr/>
        <w:t xml:space="preserve">علي بن حسن المرواني علي بن حسن المرواني ولي شد الدواوين ثم ولاية البريد بدمشق ثم ولي الصعيد ثم أعطي ولاية القاهرة فباشرها بصرامة وشدة حتى صار يضرب بجوره المثل وداخل النشو وقتل بأمره جماعة من الكتاب وأضيفت إليه الحسبة على الخبز في أيام الغلاء فساس الناس سياسة جيدة ومات قبل الأربعين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2026-07-27T13:16:43+03:00</dcterms:created>
  <dcterms:modified xsi:type="dcterms:W3CDTF">2026-07-27T13:16:43+03:00</dcterms:modified>
</cp:coreProperties>
</file>

<file path=docProps/custom.xml><?xml version="1.0" encoding="utf-8"?>
<Properties xmlns="http://schemas.openxmlformats.org/officeDocument/2006/custom-properties" xmlns:vt="http://schemas.openxmlformats.org/officeDocument/2006/docPropsVTypes"/>
</file>