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عثمان بن موسى بن دارم
</w:t>
      </w:r>
    </w:p>
    <w:p>
      <w:pPr>
        <w:jc w:val="start"/>
        <w:bidi/>
      </w:pPr>
      <w:r>
        <w:rPr>
          <w:rFonts w:ascii="arial" w:hAnsi="arial" w:eastAsia="arial" w:cs="arial"/>
          <w:sz w:val="28"/>
          <w:szCs w:val="28"/>
          <w:b w:val="1"/>
          <w:bCs w:val="1"/>
          <w:rtl/>
        </w:rPr>
        <w:t xml:space="preserve">عمر بن عثمان بن موسى بن دارم
</w:t>
      </w:r>
    </w:p>
    <w:p>
      <w:pPr/>
      <w:r>
        <w:rPr/>
        <w:t xml:space="preserve">عمر بن عثمان بن موسى بن دارم عمر بن عثمان بن موسى بن دارم بن يحيى بن هرماس الشريف الجعفري شريف الدين خطيب جامع التوبة من العقيبة ولد بعد سنة 710 وأجاز له من حماة أحمد بن إدريس بن مزيز ونخوة بنت النصيبي وغيرهما وسمع قبل الثلاثين من أسماء بنت صصرى وغيرها وكتب الخط الحسن وأجاد الخطبة فولى خطابة جامع التوبة مدة طويلة فلما عزم على الحج سنة 72 نزل عنها لصهره عماد الدين الحسبانى فباشرها واستمر وكان بيده تدريس المدرسة الخاتونية فنزل عنها أيضا للعماد قال ابن كثير وكان من أمائل الناس وأكارمهم وقد درس وأفتى وقرأ الحديث قراءة حسنة وكان يلبس الثياب الفاخرة وله هيئة وبزة حسنة وحج فمات راجعا من الحج بقرب معان في المحرم سنة 773 - عن بضع وستين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2026-07-27T13:18:03+03:00</dcterms:created>
  <dcterms:modified xsi:type="dcterms:W3CDTF">2026-07-27T13:18:03+03:00</dcterms:modified>
</cp:coreProperties>
</file>

<file path=docProps/custom.xml><?xml version="1.0" encoding="utf-8"?>
<Properties xmlns="http://schemas.openxmlformats.org/officeDocument/2006/custom-properties" xmlns:vt="http://schemas.openxmlformats.org/officeDocument/2006/docPropsVTypes"/>
</file>