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الله الآبلي
</w:t>
      </w:r>
    </w:p>
    <w:p>
      <w:pPr>
        <w:jc w:val="start"/>
        <w:bidi/>
      </w:pPr>
      <w:r>
        <w:rPr>
          <w:rFonts w:ascii="arial" w:hAnsi="arial" w:eastAsia="arial" w:cs="arial"/>
          <w:sz w:val="28"/>
          <w:szCs w:val="28"/>
          <w:b w:val="1"/>
          <w:bCs w:val="1"/>
          <w:rtl/>
        </w:rPr>
        <w:t xml:space="preserve">محمد بن إبراهيم بن عبد الله الآبلي
</w:t>
      </w:r>
    </w:p>
    <w:p>
      <w:pPr/>
      <w:r>
        <w:rPr/>
        <w:t xml:space="preserve">محمد بن إبراهيم بن عبد الله الآبلي محمد بن إبراهيم بن عبد الله الآبلي بمدة وموحدة مكسورة كان أبوه من قواد تلمسان وأمه ابنة قاضي تلمسان محمد بن غلبون فولد له محمد هذا في سنة 781 فربى عند جده وتفقه واشتغل فمهر في العلوم العقلية والآلية حتى فاق أقرانه في ذلك ثم أكرهه صاحب تلمسان على القيام بما كان أبوه فيه فكره ذلك ولبس مسحا وتسحب في زي سائل ورافق بعض الأشراف فكان يحتلم كثيرا فاستحيى من رفيقه من كثرة الاغتسال فتناول شيئا من الكافور فحصل له في عقله خلل وحج مع ذلك وصحب الشريف المذكور إلى العراق فزوده وأرسله إلى بلاده فعاد إلى تلمسان وأخذ بفاس عن خلوف المغيلي اليهودي وكان أبرع أهل عصره في فنون الحكمة وأخذ عن أبي العباس ابن البناء ثم تصدى للأشغال فانثال عليه الطلبة وانتشر ذكره وأقام مدة بتونس يدرس ويفيد وأقام مدة ببجاية يشغل الناس ثم عاد إلى تلمسان فقربه أبو عنان وقرأ عليه واستمر بها حتى مات سنة 757 أخذ عنه ابن خلدون شيخنا وترجمه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2026-07-27T12:23:27+03:00</dcterms:created>
  <dcterms:modified xsi:type="dcterms:W3CDTF">2026-07-27T12:23:27+03:00</dcterms:modified>
</cp:coreProperties>
</file>

<file path=docProps/custom.xml><?xml version="1.0" encoding="utf-8"?>
<Properties xmlns="http://schemas.openxmlformats.org/officeDocument/2006/custom-properties" xmlns:vt="http://schemas.openxmlformats.org/officeDocument/2006/docPropsVTypes"/>
</file>