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محمد العرادي القيسي الغرناطي
</w:t>
      </w:r>
    </w:p>
    <w:p>
      <w:pPr>
        <w:jc w:val="start"/>
        <w:bidi/>
      </w:pPr>
      <w:r>
        <w:rPr>
          <w:rFonts w:ascii="arial" w:hAnsi="arial" w:eastAsia="arial" w:cs="arial"/>
          <w:sz w:val="28"/>
          <w:szCs w:val="28"/>
          <w:b w:val="1"/>
          <w:bCs w:val="1"/>
          <w:rtl/>
        </w:rPr>
        <w:t xml:space="preserve">محمد بن علي بن محمد العرادي القيسي الغرناطي
</w:t>
      </w:r>
    </w:p>
    <w:p>
      <w:pPr/>
      <w:r>
        <w:rPr/>
        <w:t xml:space="preserve">محمد بن علي بن محمد العرادي القيسي الغرناطي محمد بن علي بن محمد العرادي القيسي الغرناطي قال ابن الخطيب كان دمث الأخلاق حسن الخط وأبوه من تجار سوق العطر فتعانى هو الأدب فجاء منه العجب استرسالا وسهولة واقتدارا فخدم بدار السلطان لكنه اخترمته المنية شابا فمن شعره قصيدة اولها</w:t>
      </w:r>
    </w:p>
    <w:p/>
    <w:p>
      <w:pPr>
        <w:jc w:val="center"/>
      </w:pPr>
      <w:r>
        <w:rPr>
          <w:color w:val="ff0000"/>
        </w:rPr>
        <w:t xml:space="preserve">شفاء صدائي ام تلك المنامل</w:t>
      </w:r>
      <w:r>
        <w:rPr>
          <w:color w:val="ff0000"/>
        </w:rPr>
        <w:t xml:space="preserve">      </w:t>
      </w:r>
      <w:r>
        <w:rPr>
          <w:color w:val="ff0000"/>
        </w:rPr>
        <w:t xml:space="preserve">وري غليلي أم تلك الغلائل</w:t>
      </w:r>
    </w:p>
    <w:p/>
    <w:p>
      <w:pPr/>
      <w:r>
        <w:rPr/>
        <w:t xml:space="preserve">وكانت وفاته مبطونا في سنة 755 وله أربع وعشرون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2026-07-27T11:53:22+03:00</dcterms:created>
  <dcterms:modified xsi:type="dcterms:W3CDTF">2026-07-27T11:53:22+03:00</dcterms:modified>
</cp:coreProperties>
</file>

<file path=docProps/custom.xml><?xml version="1.0" encoding="utf-8"?>
<Properties xmlns="http://schemas.openxmlformats.org/officeDocument/2006/custom-properties" xmlns:vt="http://schemas.openxmlformats.org/officeDocument/2006/docPropsVTypes"/>
</file>